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83D75" w14:textId="77777777" w:rsidR="008F4AC7" w:rsidRPr="008F4AC7" w:rsidRDefault="008F4AC7" w:rsidP="008F4AC7">
      <w:pPr>
        <w:pStyle w:val="Header"/>
        <w:rPr>
          <w:rFonts w:asciiTheme="majorHAnsi" w:hAnsiTheme="majorHAnsi"/>
        </w:rPr>
      </w:pPr>
      <w:bookmarkStart w:id="0" w:name="_GoBack"/>
      <w:bookmarkEnd w:id="0"/>
      <w:r w:rsidRPr="008F4AC7">
        <w:rPr>
          <w:rFonts w:asciiTheme="majorHAnsi" w:hAnsiTheme="majorHAnsi"/>
        </w:rPr>
        <w:t>TeleKidSeq: Incorporating Telehealth into Clinical Care of Diverse NYC Children Undergoing Whole Genome Sequencing</w:t>
      </w:r>
    </w:p>
    <w:p w14:paraId="6E17DB62" w14:textId="77777777" w:rsidR="008F4AC7" w:rsidRDefault="008F4AC7" w:rsidP="00020C67">
      <w:pPr>
        <w:spacing w:after="120" w:line="240" w:lineRule="auto"/>
        <w:jc w:val="both"/>
        <w:textAlignment w:val="baseline"/>
        <w:rPr>
          <w:rFonts w:ascii="Cambria" w:eastAsia="Times New Roman" w:hAnsi="Cambria" w:cs="Times New Roman"/>
          <w:b/>
          <w:bCs/>
          <w:color w:val="000000"/>
        </w:rPr>
      </w:pPr>
    </w:p>
    <w:p w14:paraId="5FF9C407" w14:textId="39D2FBEF" w:rsidR="00A95DF0" w:rsidRPr="00381CE7" w:rsidRDefault="003514A8" w:rsidP="00020C67">
      <w:pPr>
        <w:pStyle w:val="ListParagraph"/>
        <w:numPr>
          <w:ilvl w:val="0"/>
          <w:numId w:val="24"/>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B</w:t>
      </w:r>
      <w:r w:rsidR="00A95DF0" w:rsidRPr="00381CE7">
        <w:rPr>
          <w:rFonts w:ascii="Cambria" w:eastAsia="Times New Roman" w:hAnsi="Cambria" w:cs="Times New Roman"/>
          <w:b/>
          <w:bCs/>
          <w:color w:val="000000"/>
        </w:rPr>
        <w:t>ackground</w:t>
      </w:r>
    </w:p>
    <w:p w14:paraId="0BE2301D" w14:textId="1685D4C0" w:rsidR="00A95DF0" w:rsidRPr="00020C67" w:rsidRDefault="41627ECD" w:rsidP="00020C67">
      <w:pPr>
        <w:spacing w:before="200" w:line="240" w:lineRule="auto"/>
        <w:jc w:val="both"/>
        <w:rPr>
          <w:rFonts w:ascii="Cambria" w:eastAsia="Times New Roman" w:hAnsi="Cambria" w:cs="Times New Roman"/>
        </w:rPr>
      </w:pPr>
      <w:r w:rsidRPr="00381047">
        <w:rPr>
          <w:rFonts w:ascii="Cambria" w:eastAsia="Times New Roman" w:hAnsi="Cambria" w:cs="Times New Roman"/>
          <w:color w:val="000000" w:themeColor="text1"/>
        </w:rPr>
        <w:t>Approximately 3% of children are born with genetic disorders that result in poor health or mortality. Genomic diagnostics has the potential to transform the lives of affected families and communities, and impact human health on a global scale. The NIH-funded Clinical Sequencing Evidence-Generating (CSER) Consortium is tasked with evaluating and quantifying the clinical utility of genomic medicine. NYCKidSeq is a multi-institutional program (Mount Sinai/MS, Einstein Montefiore/EM, and the New York Genome Center/NYGC)</w:t>
      </w:r>
      <w:r w:rsidR="00D42E91" w:rsidRPr="00381047">
        <w:rPr>
          <w:rFonts w:ascii="Cambria" w:eastAsia="Times New Roman" w:hAnsi="Cambria" w:cs="Times New Roman"/>
          <w:color w:val="000000" w:themeColor="text1"/>
        </w:rPr>
        <w:t xml:space="preserve"> for our CSER site</w:t>
      </w:r>
      <w:r w:rsidR="00381047">
        <w:rPr>
          <w:rFonts w:ascii="Cambria" w:eastAsia="Times New Roman" w:hAnsi="Cambria" w:cs="Times New Roman"/>
          <w:color w:val="000000" w:themeColor="text1"/>
        </w:rPr>
        <w:t xml:space="preserve"> called NYCKidSeq</w:t>
      </w:r>
      <w:r w:rsidRPr="00381047">
        <w:rPr>
          <w:rFonts w:ascii="Cambria" w:eastAsia="Times New Roman" w:hAnsi="Cambria" w:cs="Times New Roman"/>
          <w:color w:val="000000" w:themeColor="text1"/>
        </w:rPr>
        <w:t>.</w:t>
      </w:r>
    </w:p>
    <w:p w14:paraId="4CB928F4" w14:textId="64A96A91" w:rsidR="00381047" w:rsidRPr="00020C67" w:rsidRDefault="00A95DF0" w:rsidP="00020C67">
      <w:pPr>
        <w:spacing w:before="20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Fundamental to exploiting genomics for improved care in health systems is the quality of the underlying knowledge. Simply put, knowledge of genetic variants is not equal across different populations. The past decade </w:t>
      </w:r>
      <w:r w:rsidRPr="00381CE7">
        <w:rPr>
          <w:rFonts w:ascii="Cambria" w:eastAsia="Times New Roman" w:hAnsi="Cambria" w:cs="Times New Roman"/>
          <w:color w:val="000000"/>
        </w:rPr>
        <w:t>of large-scale genomic data generation has been conducted predominantly in individuals of European ancestry. Evidence suggests that this bias is likely to persist in the ongoing and upcoming efforts to sequence people’s entire genomes. As clinical sequenci</w:t>
      </w:r>
      <w:r w:rsidRPr="00381047">
        <w:rPr>
          <w:rFonts w:ascii="Cambria" w:eastAsia="Times New Roman" w:hAnsi="Cambria" w:cs="Times New Roman"/>
          <w:color w:val="000000"/>
        </w:rPr>
        <w:t>ng becomes routine, the common experience among medical professionals is that the number of candidate variants for a suspected genetic disorder is significantly higher in non-European populations. This presents challenges to clinical laboratories for determining the pathogenicity of rare variation, particularly for putatively deleterious non-synonymous calls, which instead are labeled as variants of unknown significance (VUS). Therefore, it is imperative that geneticists sequence and investigate a much broa</w:t>
      </w:r>
      <w:r w:rsidRPr="00485E38">
        <w:rPr>
          <w:rFonts w:ascii="Cambria" w:eastAsia="Times New Roman" w:hAnsi="Cambria" w:cs="Times New Roman"/>
          <w:color w:val="000000"/>
        </w:rPr>
        <w:t>der ensemble of populations that are representative of the rich diversity of patients in NYC and the world. If we do not, a biased picture will emerge of which variants are important, and genomic medicine will have limited benefit for underserved populations. Thus, in NYCKidSeq, we are working with children, young adults and their families from Harlem and the Bronx, communities that represent low-income and minority populations, are underrepresented in the genomic data</w:t>
      </w:r>
      <w:r w:rsidR="00D42E91"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 xml:space="preserve">pool, and are frequently the last to benefit from advances in research and technology. </w:t>
      </w:r>
      <w:r w:rsidRPr="00485E38">
        <w:rPr>
          <w:rFonts w:ascii="Cambria" w:eastAsia="Times New Roman" w:hAnsi="Cambria" w:cs="Times New Roman"/>
          <w:iCs/>
          <w:color w:val="000000"/>
        </w:rPr>
        <w:t>This study will also accumulate data on how this population reacts to the incorporation of one of two different educational models (share screen vs. no share screen) through tele</w:t>
      </w:r>
      <w:r w:rsidR="00A53B4A" w:rsidRPr="00485E38">
        <w:rPr>
          <w:rFonts w:ascii="Cambria" w:eastAsia="Times New Roman" w:hAnsi="Cambria" w:cs="Times New Roman"/>
          <w:iCs/>
          <w:color w:val="000000"/>
        </w:rPr>
        <w:t>health</w:t>
      </w:r>
      <w:r w:rsidRPr="00485E38">
        <w:rPr>
          <w:rFonts w:ascii="Cambria" w:eastAsia="Times New Roman" w:hAnsi="Cambria" w:cs="Times New Roman"/>
          <w:iCs/>
          <w:color w:val="000000"/>
        </w:rPr>
        <w:t>.</w:t>
      </w:r>
      <w:r w:rsidRPr="00485E38">
        <w:rPr>
          <w:rFonts w:ascii="Cambria" w:eastAsia="Times New Roman" w:hAnsi="Cambria" w:cs="Times New Roman"/>
          <w:i/>
          <w:iCs/>
          <w:color w:val="000000"/>
        </w:rPr>
        <w:t> </w:t>
      </w:r>
    </w:p>
    <w:p w14:paraId="1CB7921D" w14:textId="4EA0A7BC" w:rsidR="00A95DF0" w:rsidRPr="00020C67" w:rsidRDefault="00381047" w:rsidP="00020C67">
      <w:pPr>
        <w:spacing w:before="200" w:line="240" w:lineRule="auto"/>
        <w:jc w:val="both"/>
        <w:rPr>
          <w:rFonts w:ascii="Cambria" w:eastAsia="Times New Roman" w:hAnsi="Cambria" w:cs="Times New Roman"/>
        </w:rPr>
      </w:pPr>
      <w:r>
        <w:rPr>
          <w:rFonts w:ascii="Cambria" w:eastAsia="Times New Roman" w:hAnsi="Cambria" w:cs="Times New Roman"/>
          <w:color w:val="000000"/>
        </w:rPr>
        <w:t>TeleKidSeq is a pilot study that is part of NYC</w:t>
      </w:r>
      <w:r w:rsidR="00A95DF0" w:rsidRPr="00381CE7">
        <w:rPr>
          <w:rFonts w:ascii="Cambria" w:eastAsia="Times New Roman" w:hAnsi="Cambria" w:cs="Times New Roman"/>
          <w:color w:val="000000"/>
        </w:rPr>
        <w:t>KidSeq</w:t>
      </w:r>
      <w:r>
        <w:rPr>
          <w:rFonts w:ascii="Cambria" w:eastAsia="Times New Roman" w:hAnsi="Cambria" w:cs="Times New Roman"/>
          <w:color w:val="000000"/>
        </w:rPr>
        <w:t xml:space="preserve">. </w:t>
      </w:r>
      <w:r w:rsidR="00864626">
        <w:rPr>
          <w:rFonts w:ascii="Cambria" w:eastAsia="Times New Roman" w:hAnsi="Cambria" w:cs="Times New Roman"/>
          <w:color w:val="000000"/>
        </w:rPr>
        <w:t>The study</w:t>
      </w:r>
      <w:r w:rsidR="00A95DF0" w:rsidRPr="00381CE7">
        <w:rPr>
          <w:rFonts w:ascii="Cambria" w:eastAsia="Times New Roman" w:hAnsi="Cambria" w:cs="Times New Roman"/>
          <w:color w:val="000000"/>
        </w:rPr>
        <w:t xml:space="preserve"> is focused on three broad areas of hereditary childhood disease. </w:t>
      </w:r>
      <w:r w:rsidR="00D42E91" w:rsidRPr="00381CE7">
        <w:rPr>
          <w:rFonts w:ascii="Cambria" w:eastAsia="Times New Roman" w:hAnsi="Cambria" w:cs="Times New Roman"/>
          <w:color w:val="000000"/>
        </w:rPr>
        <w:t xml:space="preserve">By the completion of this </w:t>
      </w:r>
      <w:r>
        <w:rPr>
          <w:rFonts w:ascii="Cambria" w:eastAsia="Times New Roman" w:hAnsi="Cambria" w:cs="Times New Roman"/>
          <w:color w:val="000000"/>
        </w:rPr>
        <w:t>one</w:t>
      </w:r>
      <w:r w:rsidR="00D42E91" w:rsidRPr="00381CE7">
        <w:rPr>
          <w:rFonts w:ascii="Cambria" w:eastAsia="Times New Roman" w:hAnsi="Cambria" w:cs="Times New Roman"/>
          <w:color w:val="000000"/>
        </w:rPr>
        <w:t xml:space="preserve">-year project, we </w:t>
      </w:r>
      <w:r w:rsidR="00A95DF0" w:rsidRPr="00381047">
        <w:rPr>
          <w:rFonts w:ascii="Cambria" w:eastAsia="Times New Roman" w:hAnsi="Cambria" w:cs="Times New Roman"/>
          <w:color w:val="000000"/>
        </w:rPr>
        <w:t xml:space="preserve">will sequence the genomes of </w:t>
      </w:r>
      <w:r>
        <w:rPr>
          <w:rFonts w:ascii="Cambria" w:eastAsia="Times New Roman" w:hAnsi="Cambria" w:cs="Times New Roman"/>
          <w:color w:val="000000"/>
        </w:rPr>
        <w:t>496</w:t>
      </w:r>
      <w:r w:rsidR="00A95DF0" w:rsidRPr="00381047">
        <w:rPr>
          <w:rFonts w:ascii="Cambria" w:eastAsia="Times New Roman" w:hAnsi="Cambria" w:cs="Times New Roman"/>
          <w:color w:val="000000"/>
        </w:rPr>
        <w:t xml:space="preserve"> children and young adults from Harlem and the Bronx with suspected genetic etiology of their neurologic disorders, primary immunodeficiencies, and cardiovascular disorders with the goal of detecting the mutated gene responsible for their disorder. Whole genome sequencing (WGS) has the potential to capture all classes of genetic variation in one analysis, and WGS interpretation has recently shown identification of clinically relevant variants </w:t>
      </w:r>
      <w:r w:rsidR="00F9773F" w:rsidRPr="00381047">
        <w:rPr>
          <w:rFonts w:ascii="Cambria" w:eastAsia="Times New Roman" w:hAnsi="Cambria" w:cs="Times New Roman"/>
          <w:color w:val="000000"/>
        </w:rPr>
        <w:t xml:space="preserve">as high as </w:t>
      </w:r>
      <w:r w:rsidR="00A95DF0" w:rsidRPr="00381047">
        <w:rPr>
          <w:rFonts w:ascii="Cambria" w:eastAsia="Times New Roman" w:hAnsi="Cambria" w:cs="Times New Roman"/>
          <w:color w:val="000000"/>
        </w:rPr>
        <w:t xml:space="preserve">~40% of autism and ~60% of intellectual disability cases. However, little is known about the clinical utility of WGS in other clinical settings, with WGS </w:t>
      </w:r>
      <w:r w:rsidR="00A95DF0" w:rsidRPr="00485E38">
        <w:rPr>
          <w:rFonts w:ascii="Cambria" w:eastAsia="Times New Roman" w:hAnsi="Cambria" w:cs="Times New Roman"/>
          <w:color w:val="000000"/>
        </w:rPr>
        <w:t>posing challenges in today’s health systems, including cost, clinical interpretation and data storage. A nuanced understanding of the clinical utility of WGS compared to other first-line genetic modalities used across clinical settings, and in different communities, will be vital for evidence-based integration of genomics in health systems. Another advantage of WGS is that it offers the possibility of serially revisiting the data as the genetic elucidation of diseases progresses, with future progress expected to identify pathogenic variants. Of course, if underserved people and communities are not included in these genomic sequencing studies, they are less likely to benefit from our improved understanding of the genetic architecture of disease.</w:t>
      </w:r>
    </w:p>
    <w:p w14:paraId="7C001F95" w14:textId="16A50C68" w:rsidR="00A95DF0" w:rsidRPr="00020C67" w:rsidRDefault="00A95DF0" w:rsidP="00020C67">
      <w:pPr>
        <w:spacing w:before="200" w:line="240" w:lineRule="auto"/>
        <w:jc w:val="both"/>
        <w:rPr>
          <w:rFonts w:ascii="Cambria" w:eastAsia="Times New Roman" w:hAnsi="Cambria" w:cs="Times New Roman"/>
        </w:rPr>
      </w:pPr>
      <w:r w:rsidRPr="009D7DDD">
        <w:rPr>
          <w:rFonts w:ascii="Cambria" w:eastAsia="Times New Roman" w:hAnsi="Cambria" w:cs="Times New Roman"/>
          <w:color w:val="000000"/>
        </w:rPr>
        <w:lastRenderedPageBreak/>
        <w:t>We have</w:t>
      </w:r>
      <w:r w:rsidR="00D42E91" w:rsidRPr="00381CE7">
        <w:rPr>
          <w:rFonts w:ascii="Cambria" w:eastAsia="Times New Roman" w:hAnsi="Cambria" w:cs="Times New Roman"/>
          <w:color w:val="000000"/>
        </w:rPr>
        <w:t>,</w:t>
      </w:r>
      <w:r w:rsidRPr="00381CE7">
        <w:rPr>
          <w:rFonts w:ascii="Cambria" w:eastAsia="Times New Roman" w:hAnsi="Cambria" w:cs="Times New Roman"/>
          <w:color w:val="000000"/>
        </w:rPr>
        <w:t xml:space="preserve"> ther</w:t>
      </w:r>
      <w:r w:rsidRPr="00381047">
        <w:rPr>
          <w:rFonts w:ascii="Cambria" w:eastAsia="Times New Roman" w:hAnsi="Cambria" w:cs="Times New Roman"/>
          <w:color w:val="000000"/>
        </w:rPr>
        <w:t>efore</w:t>
      </w:r>
      <w:r w:rsidR="00D42E91" w:rsidRPr="00381047">
        <w:rPr>
          <w:rFonts w:ascii="Cambria" w:eastAsia="Times New Roman" w:hAnsi="Cambria" w:cs="Times New Roman"/>
          <w:color w:val="000000"/>
        </w:rPr>
        <w:t>,</w:t>
      </w:r>
      <w:r w:rsidRPr="00381047">
        <w:rPr>
          <w:rFonts w:ascii="Cambria" w:eastAsia="Times New Roman" w:hAnsi="Cambria" w:cs="Times New Roman"/>
          <w:color w:val="000000"/>
        </w:rPr>
        <w:t xml:space="preserve"> assembled experts in population genetics/genomics and data scientists, with clinical lab</w:t>
      </w:r>
      <w:r w:rsidR="008A3D62" w:rsidRPr="00381047">
        <w:rPr>
          <w:rFonts w:ascii="Cambria" w:eastAsia="Times New Roman" w:hAnsi="Cambria" w:cs="Times New Roman"/>
          <w:color w:val="000000"/>
        </w:rPr>
        <w:t xml:space="preserve"> personnel</w:t>
      </w:r>
      <w:r w:rsidRPr="00381047">
        <w:rPr>
          <w:rFonts w:ascii="Cambria" w:eastAsia="Times New Roman" w:hAnsi="Cambria" w:cs="Times New Roman"/>
          <w:color w:val="000000"/>
        </w:rPr>
        <w:t xml:space="preserve"> and treating physicians, to work together as a team to develop infrastructure for updating the annotation pipelines and gene sets, and promulgating ne</w:t>
      </w:r>
      <w:r w:rsidRPr="00485E38">
        <w:rPr>
          <w:rFonts w:ascii="Cambria" w:eastAsia="Times New Roman" w:hAnsi="Cambria" w:cs="Times New Roman"/>
          <w:color w:val="000000"/>
        </w:rPr>
        <w:t xml:space="preserve">w positive findings. We will investigate the important contributions and interrelations of ancestry as a biological concept, and race as a social construct, and how </w:t>
      </w:r>
      <w:r w:rsidR="00B1673B" w:rsidRPr="00485E38">
        <w:rPr>
          <w:rFonts w:ascii="Cambria" w:eastAsia="Times New Roman" w:hAnsi="Cambria" w:cs="Times New Roman"/>
          <w:color w:val="000000"/>
        </w:rPr>
        <w:t>this impacts</w:t>
      </w:r>
      <w:r w:rsidRPr="00485E38">
        <w:rPr>
          <w:rFonts w:ascii="Cambria" w:eastAsia="Times New Roman" w:hAnsi="Cambria" w:cs="Times New Roman"/>
          <w:color w:val="000000"/>
        </w:rPr>
        <w:t xml:space="preserve"> clinical care. This proposal is uniquely poised to achieve these goals, and will focus on communication and stakeholder engagement as a means of achieving them.</w:t>
      </w:r>
    </w:p>
    <w:p w14:paraId="2BC88E7E" w14:textId="02558EEC" w:rsidR="00A95DF0" w:rsidRPr="00020C67" w:rsidRDefault="00A95DF0" w:rsidP="00020C67">
      <w:pPr>
        <w:spacing w:before="200" w:line="240" w:lineRule="auto"/>
        <w:jc w:val="both"/>
        <w:rPr>
          <w:rFonts w:ascii="Cambria" w:eastAsia="Times New Roman" w:hAnsi="Cambria" w:cs="Times New Roman"/>
        </w:rPr>
      </w:pPr>
      <w:r w:rsidRPr="00020C67">
        <w:rPr>
          <w:rFonts w:ascii="Cambria" w:eastAsia="Times New Roman" w:hAnsi="Cambria" w:cs="Times New Roman"/>
          <w:iCs/>
          <w:color w:val="000000"/>
        </w:rPr>
        <w:t>With the continued threat of COVID-19, the medical profession has had to adapt many of its current practices to cope with the increased stress on the hospital system, as well as protecting patients and providers from possible exposu</w:t>
      </w:r>
      <w:r w:rsidRPr="00020C67">
        <w:rPr>
          <w:rFonts w:ascii="Cambria" w:eastAsia="Times New Roman" w:hAnsi="Cambria" w:cs="Times New Roman"/>
          <w:iCs/>
        </w:rPr>
        <w:t>re (</w:t>
      </w:r>
      <w:r w:rsidRPr="00020C67">
        <w:rPr>
          <w:rFonts w:ascii="Cambria" w:eastAsia="Times New Roman" w:hAnsi="Cambria" w:cs="Arial"/>
          <w:iCs/>
          <w:shd w:val="clear" w:color="auto" w:fill="FFFFFF"/>
        </w:rPr>
        <w:t xml:space="preserve">Rosenbaum, 2020; </w:t>
      </w:r>
      <w:hyperlink r:id="rId8" w:history="1">
        <w:r w:rsidRPr="00020C67">
          <w:rPr>
            <w:rFonts w:ascii="Cambria" w:eastAsia="Times New Roman" w:hAnsi="Cambria" w:cs="Arial"/>
            <w:iCs/>
            <w:color w:val="1A73E8"/>
            <w:shd w:val="clear" w:color="auto" w:fill="FFFFFF"/>
          </w:rPr>
          <w:t>https://doi.org/10.1056/NEJMms2009984</w:t>
        </w:r>
      </w:hyperlink>
      <w:r w:rsidRPr="00020C67">
        <w:rPr>
          <w:rFonts w:ascii="Cambria" w:eastAsia="Times New Roman" w:hAnsi="Cambria" w:cs="Times New Roman"/>
          <w:iCs/>
          <w:color w:val="000000"/>
        </w:rPr>
        <w:t xml:space="preserve">). As the previous NYCKidseq </w:t>
      </w:r>
      <w:r w:rsidR="00D42E91" w:rsidRPr="00020C67">
        <w:rPr>
          <w:rFonts w:ascii="Cambria" w:eastAsia="Times New Roman" w:hAnsi="Cambria" w:cs="Times New Roman"/>
          <w:iCs/>
          <w:color w:val="000000"/>
        </w:rPr>
        <w:t>c</w:t>
      </w:r>
      <w:r w:rsidRPr="00020C67">
        <w:rPr>
          <w:rFonts w:ascii="Cambria" w:eastAsia="Times New Roman" w:hAnsi="Cambria" w:cs="Times New Roman"/>
          <w:iCs/>
          <w:color w:val="000000"/>
        </w:rPr>
        <w:t>linical trial was significantly interrupted by these changes to patient care as laid forward by each individual institution, we recognize the opportunity to assess alternative forms of genomic communication with families from underserved populations. </w:t>
      </w:r>
      <w:r w:rsidR="00B1673B" w:rsidRPr="00020C67">
        <w:rPr>
          <w:rFonts w:ascii="Cambria" w:eastAsia="Times New Roman" w:hAnsi="Cambria" w:cs="Times New Roman"/>
          <w:iCs/>
          <w:color w:val="000000"/>
        </w:rPr>
        <w:t>Th</w:t>
      </w:r>
      <w:r w:rsidR="00381047">
        <w:rPr>
          <w:rFonts w:ascii="Cambria" w:eastAsia="Times New Roman" w:hAnsi="Cambria" w:cs="Times New Roman"/>
          <w:iCs/>
          <w:color w:val="000000"/>
        </w:rPr>
        <w:t>erefore we launch this</w:t>
      </w:r>
      <w:r w:rsidR="00B1673B" w:rsidRPr="00020C67">
        <w:rPr>
          <w:rFonts w:ascii="Cambria" w:eastAsia="Times New Roman" w:hAnsi="Cambria" w:cs="Times New Roman"/>
          <w:iCs/>
          <w:color w:val="000000"/>
        </w:rPr>
        <w:t xml:space="preserve"> new pilot study called</w:t>
      </w:r>
      <w:r w:rsidR="00381047">
        <w:rPr>
          <w:rFonts w:ascii="Cambria" w:eastAsia="Times New Roman" w:hAnsi="Cambria" w:cs="Times New Roman"/>
          <w:iCs/>
          <w:color w:val="000000"/>
        </w:rPr>
        <w:t xml:space="preserve"> </w:t>
      </w:r>
      <w:r w:rsidR="00B1673B" w:rsidRPr="00020C67">
        <w:rPr>
          <w:rFonts w:ascii="Cambria" w:eastAsia="Times New Roman" w:hAnsi="Cambria" w:cs="Times New Roman"/>
          <w:iCs/>
          <w:color w:val="000000"/>
        </w:rPr>
        <w:t>TeleKidSeq</w:t>
      </w:r>
      <w:r w:rsidR="00381047">
        <w:rPr>
          <w:rFonts w:ascii="Cambria" w:eastAsia="Times New Roman" w:hAnsi="Cambria" w:cs="Times New Roman"/>
          <w:iCs/>
          <w:color w:val="000000"/>
        </w:rPr>
        <w:t xml:space="preserve"> to evaluate two different modes of delivering genetic results via tele</w:t>
      </w:r>
      <w:r w:rsidR="00AD53BA">
        <w:rPr>
          <w:rFonts w:ascii="Cambria" w:eastAsia="Times New Roman" w:hAnsi="Cambria" w:cs="Times New Roman"/>
          <w:iCs/>
          <w:color w:val="000000"/>
        </w:rPr>
        <w:t>health</w:t>
      </w:r>
      <w:r w:rsidR="00B1673B" w:rsidRPr="00020C67">
        <w:rPr>
          <w:rFonts w:ascii="Cambria" w:eastAsia="Times New Roman" w:hAnsi="Cambria" w:cs="Times New Roman"/>
          <w:iCs/>
          <w:color w:val="000000"/>
        </w:rPr>
        <w:t xml:space="preserve">. </w:t>
      </w:r>
    </w:p>
    <w:p w14:paraId="0B063063" w14:textId="2758B29A" w:rsidR="00A95DF0" w:rsidRPr="00020C67" w:rsidRDefault="00220863" w:rsidP="00020C67">
      <w:pPr>
        <w:spacing w:line="240" w:lineRule="auto"/>
        <w:jc w:val="both"/>
        <w:rPr>
          <w:rFonts w:ascii="Cambria" w:eastAsia="Times New Roman" w:hAnsi="Cambria" w:cs="Times New Roman"/>
        </w:rPr>
      </w:pPr>
      <w:r>
        <w:rPr>
          <w:rFonts w:ascii="Cambria" w:eastAsia="Times New Roman" w:hAnsi="Cambria" w:cs="Times New Roman"/>
          <w:b/>
          <w:bCs/>
          <w:color w:val="000000"/>
        </w:rPr>
        <w:t>Telehealth and c</w:t>
      </w:r>
      <w:r w:rsidR="00A95DF0" w:rsidRPr="009D7DDD">
        <w:rPr>
          <w:rFonts w:ascii="Cambria" w:eastAsia="Times New Roman" w:hAnsi="Cambria" w:cs="Times New Roman"/>
          <w:b/>
          <w:bCs/>
          <w:color w:val="000000"/>
        </w:rPr>
        <w:t>ommunication</w:t>
      </w:r>
    </w:p>
    <w:p w14:paraId="077B0A3A" w14:textId="77777777" w:rsidR="00A95DF0" w:rsidRPr="00020C67" w:rsidRDefault="00A95DF0" w:rsidP="00020C67">
      <w:pPr>
        <w:spacing w:before="200" w:line="240" w:lineRule="auto"/>
        <w:jc w:val="both"/>
        <w:rPr>
          <w:rFonts w:ascii="Cambria" w:eastAsia="Times New Roman" w:hAnsi="Cambria" w:cs="Times New Roman"/>
        </w:rPr>
      </w:pPr>
      <w:r w:rsidRPr="009D7DDD">
        <w:rPr>
          <w:rFonts w:ascii="Cambria" w:eastAsia="Times New Roman" w:hAnsi="Cambria" w:cs="Times New Roman"/>
          <w:color w:val="000000"/>
        </w:rPr>
        <w:t>Many children with underlying genetic disorders targeted in this proposal are subjected to diagnostic and/or therapeutic odysseys that could be avoided with early, precise genetic diagnostics. For instance, congenital heart def</w:t>
      </w:r>
      <w:r w:rsidRPr="00381CE7">
        <w:rPr>
          <w:rFonts w:ascii="Cambria" w:eastAsia="Times New Roman" w:hAnsi="Cambria" w:cs="Times New Roman"/>
          <w:color w:val="000000"/>
        </w:rPr>
        <w:t>ects remain the commonest class of birth defect and the one with the highest newborn mortality, while primary immunodeficiency disorders as well as the cardiomyopathies and channelopathies are also associated with substantial morbidity and mortality. Epile</w:t>
      </w:r>
      <w:r w:rsidRPr="00381047">
        <w:rPr>
          <w:rFonts w:ascii="Cambria" w:eastAsia="Times New Roman" w:hAnsi="Cambria" w:cs="Times New Roman"/>
          <w:color w:val="000000"/>
        </w:rPr>
        <w:t>psy can be a clinically challenging condition, with adequate control of seizures being elusive for some patients. Intellectual and developmental disabilities are increasingly recognized as prevalent and, for some diagnostic entities such as the autism spectrum disorders, rising in population frequency. Collectively, children with these disorders represent the largest patient group referred for genetic evaluation, and in full service pediatric clinical settings, genetic testing is routinely offered.</w:t>
      </w:r>
    </w:p>
    <w:p w14:paraId="220E0502" w14:textId="76FBAAA7" w:rsidR="0065191D" w:rsidRPr="00381047" w:rsidRDefault="00A95DF0" w:rsidP="00020C67">
      <w:pPr>
        <w:spacing w:before="200" w:line="240" w:lineRule="auto"/>
        <w:jc w:val="both"/>
        <w:rPr>
          <w:rFonts w:ascii="Cambria" w:eastAsia="Times New Roman" w:hAnsi="Cambria" w:cs="Times New Roman"/>
          <w:iCs/>
        </w:rPr>
      </w:pPr>
      <w:r w:rsidRPr="009D7DDD">
        <w:rPr>
          <w:rFonts w:ascii="Cambria" w:eastAsia="Times New Roman" w:hAnsi="Cambria" w:cs="Times New Roman"/>
          <w:color w:val="000000"/>
        </w:rPr>
        <w:t>However,</w:t>
      </w:r>
      <w:r w:rsidRPr="00381CE7">
        <w:rPr>
          <w:rFonts w:ascii="Cambria" w:eastAsia="Times New Roman" w:hAnsi="Cambria" w:cs="Times New Roman"/>
          <w:color w:val="000000"/>
        </w:rPr>
        <w:t xml:space="preserve"> the complexity of genomics information remains a significant barrier to health care delivery. This is intimidating even for the clinical geneticist, and more so for primary care physicians or non-geneticist subspecialists, to whom children with genetic co</w:t>
      </w:r>
      <w:r w:rsidRPr="00381047">
        <w:rPr>
          <w:rFonts w:ascii="Cambria" w:eastAsia="Times New Roman" w:hAnsi="Cambria" w:cs="Times New Roman"/>
          <w:color w:val="000000"/>
        </w:rPr>
        <w:t xml:space="preserve">nditions initially present. </w:t>
      </w:r>
      <w:r w:rsidRPr="00381047">
        <w:rPr>
          <w:rFonts w:ascii="Cambria" w:eastAsia="Times New Roman" w:hAnsi="Cambria" w:cs="Times New Roman"/>
          <w:iCs/>
          <w:color w:val="000000"/>
        </w:rPr>
        <w:t xml:space="preserve">In the advent of COVID-19, most healthcare professionals have had to adjust the way they triage, evaluate, care for patients, and discuss genetic testing and results. Instead of in-person services, many medical </w:t>
      </w:r>
      <w:r w:rsidR="00D12EEC" w:rsidRPr="00381047">
        <w:rPr>
          <w:rFonts w:ascii="Cambria" w:eastAsia="Times New Roman" w:hAnsi="Cambria" w:cs="Times New Roman"/>
          <w:iCs/>
          <w:color w:val="000000"/>
        </w:rPr>
        <w:t>specialties</w:t>
      </w:r>
      <w:r w:rsidRPr="00381047">
        <w:rPr>
          <w:rFonts w:ascii="Cambria" w:eastAsia="Times New Roman" w:hAnsi="Cambria" w:cs="Times New Roman"/>
          <w:iCs/>
          <w:color w:val="000000"/>
        </w:rPr>
        <w:t xml:space="preserve"> including genetics, have adopted telehealth to reduce staff</w:t>
      </w:r>
      <w:r w:rsidR="00FA1815" w:rsidRPr="00381047">
        <w:rPr>
          <w:rFonts w:ascii="Cambria" w:eastAsia="Times New Roman" w:hAnsi="Cambria" w:cs="Times New Roman"/>
          <w:iCs/>
          <w:color w:val="000000"/>
        </w:rPr>
        <w:t xml:space="preserve"> and </w:t>
      </w:r>
      <w:r w:rsidR="00AE0ED9" w:rsidRPr="00381047">
        <w:rPr>
          <w:rFonts w:ascii="Cambria" w:eastAsia="Times New Roman" w:hAnsi="Cambria" w:cs="Times New Roman"/>
          <w:iCs/>
          <w:color w:val="000000"/>
        </w:rPr>
        <w:t>patient/family</w:t>
      </w:r>
      <w:r w:rsidRPr="00381047">
        <w:rPr>
          <w:rFonts w:ascii="Cambria" w:eastAsia="Times New Roman" w:hAnsi="Cambria" w:cs="Times New Roman"/>
          <w:iCs/>
          <w:color w:val="000000"/>
        </w:rPr>
        <w:t xml:space="preserve"> exposure to ill persons, preserve personal protective equipment, and minimize the impact of patient surges on facilities. Wosick </w:t>
      </w:r>
      <w:r w:rsidRPr="00485E38">
        <w:rPr>
          <w:rFonts w:ascii="Cambria" w:eastAsia="Times New Roman" w:hAnsi="Cambria" w:cs="Times New Roman"/>
          <w:i/>
          <w:iCs/>
          <w:color w:val="000000"/>
        </w:rPr>
        <w:t>et al</w:t>
      </w:r>
      <w:r w:rsidRPr="00485E38">
        <w:rPr>
          <w:rFonts w:ascii="Cambria" w:eastAsia="Times New Roman" w:hAnsi="Cambria" w:cs="Times New Roman"/>
          <w:iCs/>
          <w:color w:val="000000"/>
        </w:rPr>
        <w:t>., 2020 define telehealth as the entire spectrum of activities used to deliver care at a distance—without direct physical contact with the patient. Telehealth encompasses both provider-to-patient and provider-to-provider communications, and can take place synchronously (telephone and video), asynchronously (patient portal messages, e-consults), and through virtual agents (chatbots) and wearable devices (</w:t>
      </w:r>
      <w:hyperlink r:id="rId9" w:history="1">
        <w:r w:rsidRPr="00485E38">
          <w:rPr>
            <w:rFonts w:ascii="Cambria" w:eastAsia="Times New Roman" w:hAnsi="Cambria" w:cs="Times New Roman"/>
            <w:iCs/>
            <w:color w:val="006FB7"/>
            <w:u w:val="single"/>
          </w:rPr>
          <w:t>https://doi.org/10.1093/jamia/ocaa067</w:t>
        </w:r>
      </w:hyperlink>
      <w:r w:rsidRPr="009D7DDD">
        <w:rPr>
          <w:rFonts w:ascii="Cambria" w:eastAsia="Times New Roman" w:hAnsi="Cambria" w:cs="Times New Roman"/>
          <w:iCs/>
          <w:color w:val="000000"/>
        </w:rPr>
        <w:t>). While telehealth technology and its use are not new, widesp</w:t>
      </w:r>
      <w:r w:rsidRPr="00381CE7">
        <w:rPr>
          <w:rFonts w:ascii="Cambria" w:eastAsia="Times New Roman" w:hAnsi="Cambria" w:cs="Times New Roman"/>
          <w:iCs/>
          <w:color w:val="000000"/>
        </w:rPr>
        <w:t>read adoption among healthcare professionals and patients has been relatively slow (CDC, 2020</w:t>
      </w:r>
      <w:r w:rsidR="0099463B" w:rsidRPr="00381CE7">
        <w:rPr>
          <w:rFonts w:ascii="Cambria" w:eastAsia="Times New Roman" w:hAnsi="Cambria" w:cs="Times New Roman"/>
          <w:iCs/>
          <w:color w:val="000000"/>
        </w:rPr>
        <w:t>;</w:t>
      </w:r>
      <w:r w:rsidRPr="00381047">
        <w:rPr>
          <w:rFonts w:ascii="Cambria" w:eastAsia="Times New Roman" w:hAnsi="Cambria" w:cs="Times New Roman"/>
          <w:iCs/>
          <w:color w:val="000000"/>
        </w:rPr>
        <w:t xml:space="preserve"> </w:t>
      </w:r>
      <w:hyperlink r:id="rId10" w:history="1">
        <w:r w:rsidRPr="00485E38">
          <w:rPr>
            <w:rFonts w:ascii="Cambria" w:eastAsia="Times New Roman" w:hAnsi="Cambria" w:cs="Times New Roman"/>
            <w:iCs/>
            <w:color w:val="1155CC"/>
            <w:u w:val="single"/>
          </w:rPr>
          <w:t>https://www.cdc.gov/coronavirus/2019-ncov/hcp/telehealth.html</w:t>
        </w:r>
      </w:hyperlink>
      <w:r w:rsidRPr="009D7DDD">
        <w:rPr>
          <w:rFonts w:ascii="Cambria" w:eastAsia="Times New Roman" w:hAnsi="Cambria" w:cs="Times New Roman"/>
          <w:iCs/>
          <w:color w:val="000000"/>
        </w:rPr>
        <w:t>). The current COVID-1</w:t>
      </w:r>
      <w:r w:rsidRPr="00381CE7">
        <w:rPr>
          <w:rFonts w:ascii="Cambria" w:eastAsia="Times New Roman" w:hAnsi="Cambria" w:cs="Times New Roman"/>
          <w:iCs/>
          <w:color w:val="000000"/>
        </w:rPr>
        <w:t>9 event is not the first time that government agencies and healthcare providers have turned to telehealth in response to disaster situations. In 2000, the North Atlantic Treaty Alliance (NATO) developed a Multinational Telemedicine System that has been dep</w:t>
      </w:r>
      <w:r w:rsidRPr="00381047">
        <w:rPr>
          <w:rFonts w:ascii="Cambria" w:eastAsia="Times New Roman" w:hAnsi="Cambria" w:cs="Times New Roman"/>
          <w:iCs/>
          <w:color w:val="000000"/>
        </w:rPr>
        <w:t>loyed with their military forces during various crises, and has provided areas in need with health support from medical experts located in other countries (CDC, 2020). There are many examples prior to COVID-19 where healthcare professionals used tele</w:t>
      </w:r>
      <w:r w:rsidR="00A53B4A" w:rsidRPr="00381047">
        <w:rPr>
          <w:rFonts w:ascii="Cambria" w:eastAsia="Times New Roman" w:hAnsi="Cambria" w:cs="Times New Roman"/>
          <w:iCs/>
          <w:color w:val="000000"/>
        </w:rPr>
        <w:t>health</w:t>
      </w:r>
      <w:r w:rsidRPr="00381047">
        <w:rPr>
          <w:rFonts w:ascii="Cambria" w:eastAsia="Times New Roman" w:hAnsi="Cambria" w:cs="Times New Roman"/>
          <w:iCs/>
          <w:color w:val="000000"/>
        </w:rPr>
        <w:t xml:space="preserve"> to provide healthcare services to victims of hurricane disasters, severe prolonged droughts, and past pandemics like Severe </w:t>
      </w:r>
      <w:r w:rsidRPr="00381047">
        <w:rPr>
          <w:rFonts w:ascii="Cambria" w:eastAsia="Times New Roman" w:hAnsi="Cambria" w:cs="Times New Roman"/>
          <w:iCs/>
          <w:color w:val="000000"/>
        </w:rPr>
        <w:lastRenderedPageBreak/>
        <w:t xml:space="preserve">Acute Respiratory Syndrome (SARS) in 2003 </w:t>
      </w:r>
      <w:r w:rsidRPr="00381047">
        <w:rPr>
          <w:rFonts w:ascii="Cambria" w:eastAsia="Times New Roman" w:hAnsi="Cambria" w:cs="Times New Roman"/>
          <w:iCs/>
        </w:rPr>
        <w:t>(</w:t>
      </w:r>
      <w:r w:rsidR="005A497F" w:rsidRPr="00381047">
        <w:rPr>
          <w:rFonts w:ascii="Cambria" w:eastAsia="Times New Roman" w:hAnsi="Cambria" w:cs="Times New Roman"/>
          <w:iCs/>
        </w:rPr>
        <w:t xml:space="preserve">Smith, 2020; </w:t>
      </w:r>
      <w:hyperlink r:id="rId11" w:history="1">
        <w:r w:rsidR="005A497F" w:rsidRPr="00485E38">
          <w:rPr>
            <w:rStyle w:val="Hyperlink"/>
            <w:rFonts w:ascii="Cambria" w:eastAsia="Times New Roman" w:hAnsi="Cambria" w:cs="Times New Roman"/>
            <w:iCs/>
          </w:rPr>
          <w:t>https://www.ncbi.nlm.nih.gov/pmc/articles/pmid/32196391/</w:t>
        </w:r>
      </w:hyperlink>
      <w:r w:rsidRPr="009D7DDD">
        <w:rPr>
          <w:rFonts w:ascii="Cambria" w:eastAsia="Times New Roman" w:hAnsi="Cambria" w:cs="Times New Roman"/>
          <w:iCs/>
        </w:rPr>
        <w:t xml:space="preserve">). </w:t>
      </w:r>
      <w:r w:rsidRPr="00381CE7">
        <w:rPr>
          <w:rFonts w:ascii="Cambria" w:eastAsia="Times New Roman" w:hAnsi="Cambria" w:cs="Times New Roman"/>
          <w:iCs/>
          <w:color w:val="000000"/>
        </w:rPr>
        <w:t xml:space="preserve">In the midst of “stay-at-home” orders and physical distancing, telehealth </w:t>
      </w:r>
      <w:r w:rsidRPr="00381047">
        <w:rPr>
          <w:rFonts w:ascii="Cambria" w:eastAsia="Times New Roman" w:hAnsi="Cambria" w:cs="Times New Roman"/>
          <w:iCs/>
          <w:color w:val="000000"/>
          <w:shd w:val="clear" w:color="auto" w:fill="FFFFFF"/>
        </w:rPr>
        <w:t>programs can overcome physical barriers to provide patients access to medical care. However, the complexity involved in educating and discussing genetic-related concepts, especially during a return of result appointment, may be challenging through tele</w:t>
      </w:r>
      <w:r w:rsidR="00A53B4A" w:rsidRPr="00381047">
        <w:rPr>
          <w:rFonts w:ascii="Cambria" w:eastAsia="Times New Roman" w:hAnsi="Cambria" w:cs="Times New Roman"/>
          <w:iCs/>
          <w:color w:val="000000"/>
          <w:shd w:val="clear" w:color="auto" w:fill="FFFFFF"/>
        </w:rPr>
        <w:t>health</w:t>
      </w:r>
      <w:r w:rsidRPr="00381047">
        <w:rPr>
          <w:rFonts w:ascii="Cambria" w:eastAsia="Times New Roman" w:hAnsi="Cambria" w:cs="Times New Roman"/>
          <w:iCs/>
          <w:color w:val="000000"/>
          <w:shd w:val="clear" w:color="auto" w:fill="FFFFFF"/>
        </w:rPr>
        <w:t>. Currently, there is not enough data on how complex subject matters like genetic testing and results disclosure are conducted via tele</w:t>
      </w:r>
      <w:r w:rsidR="00A53B4A" w:rsidRPr="00381047">
        <w:rPr>
          <w:rFonts w:ascii="Cambria" w:eastAsia="Times New Roman" w:hAnsi="Cambria" w:cs="Times New Roman"/>
          <w:iCs/>
          <w:color w:val="000000"/>
          <w:shd w:val="clear" w:color="auto" w:fill="FFFFFF"/>
        </w:rPr>
        <w:t>health</w:t>
      </w:r>
      <w:r w:rsidRPr="00485E38">
        <w:rPr>
          <w:rFonts w:ascii="Cambria" w:eastAsia="Times New Roman" w:hAnsi="Cambria" w:cs="Times New Roman"/>
          <w:iCs/>
          <w:color w:val="000000"/>
          <w:shd w:val="clear" w:color="auto" w:fill="FFFFFF"/>
        </w:rPr>
        <w:t xml:space="preserve">. One important component of a genetic consult is educating patients on certain genetic concepts like genes, inheritance, variants of uncertain significance, and other genetic terminology. During this education process, </w:t>
      </w:r>
      <w:r w:rsidR="00381047">
        <w:rPr>
          <w:rFonts w:ascii="Cambria" w:eastAsia="Times New Roman" w:hAnsi="Cambria" w:cs="Times New Roman"/>
          <w:iCs/>
          <w:color w:val="000000"/>
          <w:shd w:val="clear" w:color="auto" w:fill="FFFFFF"/>
        </w:rPr>
        <w:t>G</w:t>
      </w:r>
      <w:r w:rsidRPr="00381047">
        <w:rPr>
          <w:rFonts w:ascii="Cambria" w:eastAsia="Times New Roman" w:hAnsi="Cambria" w:cs="Times New Roman"/>
          <w:iCs/>
          <w:color w:val="000000"/>
          <w:shd w:val="clear" w:color="auto" w:fill="FFFFFF"/>
        </w:rPr>
        <w:t xml:space="preserve">enetic </w:t>
      </w:r>
      <w:r w:rsidR="00381047">
        <w:rPr>
          <w:rFonts w:ascii="Cambria" w:eastAsia="Times New Roman" w:hAnsi="Cambria" w:cs="Times New Roman"/>
          <w:iCs/>
          <w:color w:val="000000"/>
          <w:shd w:val="clear" w:color="auto" w:fill="FFFFFF"/>
        </w:rPr>
        <w:t>C</w:t>
      </w:r>
      <w:r w:rsidRPr="00381047">
        <w:rPr>
          <w:rFonts w:ascii="Cambria" w:eastAsia="Times New Roman" w:hAnsi="Cambria" w:cs="Times New Roman"/>
          <w:iCs/>
          <w:color w:val="000000"/>
          <w:shd w:val="clear" w:color="auto" w:fill="FFFFFF"/>
        </w:rPr>
        <w:t xml:space="preserve">ounselors </w:t>
      </w:r>
      <w:r w:rsidR="00381047">
        <w:rPr>
          <w:rFonts w:ascii="Cambria" w:eastAsia="Times New Roman" w:hAnsi="Cambria" w:cs="Times New Roman"/>
          <w:iCs/>
          <w:color w:val="000000"/>
          <w:shd w:val="clear" w:color="auto" w:fill="FFFFFF"/>
        </w:rPr>
        <w:t xml:space="preserve">(GCs) </w:t>
      </w:r>
      <w:r w:rsidRPr="00381047">
        <w:rPr>
          <w:rFonts w:ascii="Cambria" w:eastAsia="Times New Roman" w:hAnsi="Cambria" w:cs="Times New Roman"/>
          <w:iCs/>
          <w:color w:val="000000"/>
          <w:shd w:val="clear" w:color="auto" w:fill="FFFFFF"/>
        </w:rPr>
        <w:t>hope to help patients understand how their genetics can impact future healthcare management, screening, and surveillance. During this education process, some healthcare professionals may use visual aids, diagrams, charts, and other figures to help facilitate learning and understanding of such genetic concepts. </w:t>
      </w:r>
    </w:p>
    <w:p w14:paraId="44FD29EC" w14:textId="7000CB40" w:rsidR="0065191D" w:rsidRPr="00020C67" w:rsidRDefault="00A22906" w:rsidP="00020C67">
      <w:pPr>
        <w:spacing w:before="200" w:line="240" w:lineRule="auto"/>
        <w:jc w:val="both"/>
        <w:rPr>
          <w:rFonts w:ascii="Cambria" w:eastAsia="Times New Roman" w:hAnsi="Cambria" w:cs="Times New Roman"/>
        </w:rPr>
      </w:pPr>
      <w:r w:rsidRPr="00020C67">
        <w:rPr>
          <w:rFonts w:ascii="Cambria" w:eastAsia="Times New Roman" w:hAnsi="Cambria" w:cs="Times New Roman"/>
        </w:rPr>
        <w:t xml:space="preserve">The rapid and widespread dissemination of </w:t>
      </w:r>
      <w:r w:rsidR="00AD53BA" w:rsidRPr="00020C67">
        <w:rPr>
          <w:rFonts w:ascii="Cambria" w:eastAsia="Times New Roman" w:hAnsi="Cambria" w:cs="Times New Roman"/>
        </w:rPr>
        <w:t>tele</w:t>
      </w:r>
      <w:r w:rsidR="00AD53BA">
        <w:rPr>
          <w:rFonts w:ascii="Cambria" w:eastAsia="Times New Roman" w:hAnsi="Cambria" w:cs="Times New Roman"/>
        </w:rPr>
        <w:t>health</w:t>
      </w:r>
      <w:r w:rsidR="00AD53BA" w:rsidRPr="00020C67">
        <w:rPr>
          <w:rFonts w:ascii="Cambria" w:eastAsia="Times New Roman" w:hAnsi="Cambria" w:cs="Times New Roman"/>
        </w:rPr>
        <w:t xml:space="preserve"> </w:t>
      </w:r>
      <w:r w:rsidRPr="00020C67">
        <w:rPr>
          <w:rFonts w:ascii="Cambria" w:eastAsia="Times New Roman" w:hAnsi="Cambria" w:cs="Times New Roman"/>
        </w:rPr>
        <w:t>was prompted by the need to</w:t>
      </w:r>
      <w:r w:rsidR="00E51FC6" w:rsidRPr="00020C67">
        <w:rPr>
          <w:rFonts w:ascii="Cambria" w:eastAsia="Times New Roman" w:hAnsi="Cambria" w:cs="Times New Roman"/>
        </w:rPr>
        <w:t xml:space="preserve"> </w:t>
      </w:r>
      <w:r w:rsidRPr="00020C67">
        <w:rPr>
          <w:rFonts w:ascii="Cambria" w:eastAsia="Times New Roman" w:hAnsi="Cambria" w:cs="Times New Roman"/>
        </w:rPr>
        <w:t>continue to provide outpatient care when COVID-19 shelter-in-place and social distancing measures forced clinics and</w:t>
      </w:r>
      <w:r w:rsidR="00E51FC6" w:rsidRPr="00020C67">
        <w:rPr>
          <w:rFonts w:ascii="Cambria" w:eastAsia="Times New Roman" w:hAnsi="Cambria" w:cs="Times New Roman"/>
        </w:rPr>
        <w:t xml:space="preserve"> </w:t>
      </w:r>
      <w:r w:rsidRPr="00020C67">
        <w:rPr>
          <w:rFonts w:ascii="Cambria" w:eastAsia="Times New Roman" w:hAnsi="Cambria" w:cs="Times New Roman"/>
        </w:rPr>
        <w:t>physician</w:t>
      </w:r>
      <w:r w:rsidR="00E51FC6" w:rsidRPr="00020C67">
        <w:rPr>
          <w:rFonts w:ascii="Cambria" w:eastAsia="Times New Roman" w:hAnsi="Cambria" w:cs="Times New Roman"/>
        </w:rPr>
        <w:t xml:space="preserve"> </w:t>
      </w:r>
      <w:r w:rsidRPr="00020C67">
        <w:rPr>
          <w:rFonts w:ascii="Cambria" w:eastAsia="Times New Roman" w:hAnsi="Cambria" w:cs="Times New Roman"/>
        </w:rPr>
        <w:t>practices</w:t>
      </w:r>
      <w:r w:rsidR="00E51FC6" w:rsidRPr="00020C67">
        <w:rPr>
          <w:rFonts w:ascii="Cambria" w:eastAsia="Times New Roman" w:hAnsi="Cambria" w:cs="Times New Roman"/>
        </w:rPr>
        <w:t xml:space="preserve"> </w:t>
      </w:r>
      <w:r w:rsidRPr="00020C67">
        <w:rPr>
          <w:rFonts w:ascii="Cambria" w:eastAsia="Times New Roman" w:hAnsi="Cambria" w:cs="Times New Roman"/>
        </w:rPr>
        <w:t>to</w:t>
      </w:r>
      <w:r w:rsidR="00E51FC6" w:rsidRPr="00020C67">
        <w:rPr>
          <w:rFonts w:ascii="Cambria" w:eastAsia="Times New Roman" w:hAnsi="Cambria" w:cs="Times New Roman"/>
        </w:rPr>
        <w:t xml:space="preserve"> </w:t>
      </w:r>
      <w:r w:rsidRPr="00020C67">
        <w:rPr>
          <w:rFonts w:ascii="Cambria" w:eastAsia="Times New Roman" w:hAnsi="Cambria" w:cs="Times New Roman"/>
        </w:rPr>
        <w:t>close</w:t>
      </w:r>
      <w:r w:rsidR="00E51FC6" w:rsidRPr="00020C67">
        <w:rPr>
          <w:rFonts w:ascii="Cambria" w:eastAsia="Times New Roman" w:hAnsi="Cambria" w:cs="Times New Roman"/>
        </w:rPr>
        <w:t xml:space="preserve"> </w:t>
      </w:r>
      <w:r w:rsidRPr="00020C67">
        <w:rPr>
          <w:rFonts w:ascii="Cambria" w:eastAsia="Times New Roman" w:hAnsi="Cambria" w:cs="Times New Roman"/>
        </w:rPr>
        <w:t>to</w:t>
      </w:r>
      <w:r w:rsidR="00E51FC6" w:rsidRPr="00020C67">
        <w:rPr>
          <w:rFonts w:ascii="Cambria" w:eastAsia="Times New Roman" w:hAnsi="Cambria" w:cs="Times New Roman"/>
        </w:rPr>
        <w:t xml:space="preserve"> </w:t>
      </w:r>
      <w:r w:rsidRPr="00020C67">
        <w:rPr>
          <w:rFonts w:ascii="Cambria" w:eastAsia="Times New Roman" w:hAnsi="Cambria" w:cs="Times New Roman"/>
        </w:rPr>
        <w:t>in-person</w:t>
      </w:r>
      <w:r w:rsidR="000557FB" w:rsidRPr="00020C67">
        <w:rPr>
          <w:rFonts w:ascii="Cambria" w:eastAsia="Times New Roman" w:hAnsi="Cambria" w:cs="Times New Roman"/>
        </w:rPr>
        <w:t xml:space="preserve"> </w:t>
      </w:r>
      <w:r w:rsidRPr="00020C67">
        <w:rPr>
          <w:rFonts w:ascii="Cambria" w:eastAsia="Times New Roman" w:hAnsi="Cambria" w:cs="Times New Roman"/>
        </w:rPr>
        <w:t>visits.</w:t>
      </w:r>
      <w:r w:rsidR="000557FB" w:rsidRPr="00020C67">
        <w:rPr>
          <w:rFonts w:ascii="Cambria" w:eastAsia="Times New Roman" w:hAnsi="Cambria" w:cs="Times New Roman"/>
        </w:rPr>
        <w:t xml:space="preserve"> </w:t>
      </w:r>
      <w:r w:rsidR="00FD1D49" w:rsidRPr="00020C67">
        <w:rPr>
          <w:rFonts w:ascii="Cambria" w:eastAsia="Times New Roman" w:hAnsi="Cambria" w:cs="Times New Roman"/>
        </w:rPr>
        <w:t xml:space="preserve">It will be critical to understand </w:t>
      </w:r>
      <w:r w:rsidRPr="00020C67">
        <w:rPr>
          <w:rFonts w:ascii="Cambria" w:eastAsia="Times New Roman" w:hAnsi="Cambria" w:cs="Times New Roman"/>
        </w:rPr>
        <w:t xml:space="preserve">whether </w:t>
      </w:r>
      <w:r w:rsidR="00AD53BA" w:rsidRPr="00020C67">
        <w:rPr>
          <w:rFonts w:ascii="Cambria" w:eastAsia="Times New Roman" w:hAnsi="Cambria" w:cs="Times New Roman"/>
        </w:rPr>
        <w:t>tele</w:t>
      </w:r>
      <w:r w:rsidR="00AD53BA">
        <w:rPr>
          <w:rFonts w:ascii="Cambria" w:eastAsia="Times New Roman" w:hAnsi="Cambria" w:cs="Times New Roman"/>
        </w:rPr>
        <w:t>health</w:t>
      </w:r>
      <w:r w:rsidR="00AD53BA" w:rsidRPr="00020C67">
        <w:rPr>
          <w:rFonts w:ascii="Cambria" w:eastAsia="Times New Roman" w:hAnsi="Cambria" w:cs="Times New Roman"/>
        </w:rPr>
        <w:t xml:space="preserve"> </w:t>
      </w:r>
      <w:r w:rsidRPr="00020C67">
        <w:rPr>
          <w:rFonts w:ascii="Cambria" w:eastAsia="Times New Roman" w:hAnsi="Cambria" w:cs="Times New Roman"/>
        </w:rPr>
        <w:t>provides comparable or higher quality of care</w:t>
      </w:r>
      <w:r w:rsidR="008616B8" w:rsidRPr="00020C67">
        <w:rPr>
          <w:rFonts w:ascii="Cambria" w:eastAsia="Times New Roman" w:hAnsi="Cambria" w:cs="Times New Roman"/>
        </w:rPr>
        <w:t xml:space="preserve"> and whether expansions in tele</w:t>
      </w:r>
      <w:r w:rsidR="00220863">
        <w:rPr>
          <w:rFonts w:ascii="Cambria" w:eastAsia="Times New Roman" w:hAnsi="Cambria" w:cs="Times New Roman"/>
        </w:rPr>
        <w:t xml:space="preserve">health </w:t>
      </w:r>
      <w:r w:rsidR="008616B8" w:rsidRPr="00020C67">
        <w:rPr>
          <w:rFonts w:ascii="Cambria" w:eastAsia="Times New Roman" w:hAnsi="Cambria" w:cs="Times New Roman"/>
        </w:rPr>
        <w:t xml:space="preserve">exacerbate health disparities among certain patient populations. </w:t>
      </w:r>
      <w:r w:rsidR="00FD1D49" w:rsidRPr="00020C67">
        <w:rPr>
          <w:rFonts w:ascii="Cambria" w:eastAsia="Times New Roman" w:hAnsi="Cambria" w:cs="Times New Roman"/>
        </w:rPr>
        <w:t>(</w:t>
      </w:r>
      <w:r w:rsidR="00811F93" w:rsidRPr="00020C67">
        <w:rPr>
          <w:rFonts w:ascii="Cambria" w:eastAsia="Times New Roman" w:hAnsi="Cambria" w:cs="Times New Roman"/>
        </w:rPr>
        <w:t xml:space="preserve">Ekeland AG, Bowes A, Flottorp S. Methodologies for assessing </w:t>
      </w:r>
      <w:r w:rsidR="00AD53BA" w:rsidRPr="00020C67">
        <w:rPr>
          <w:rFonts w:ascii="Cambria" w:eastAsia="Times New Roman" w:hAnsi="Cambria" w:cs="Times New Roman"/>
        </w:rPr>
        <w:t>tele</w:t>
      </w:r>
      <w:r w:rsidR="00AD53BA">
        <w:rPr>
          <w:rFonts w:ascii="Cambria" w:eastAsia="Times New Roman" w:hAnsi="Cambria" w:cs="Times New Roman"/>
        </w:rPr>
        <w:t>health</w:t>
      </w:r>
      <w:r w:rsidR="00811F93" w:rsidRPr="00020C67">
        <w:rPr>
          <w:rFonts w:ascii="Cambria" w:eastAsia="Times New Roman" w:hAnsi="Cambria" w:cs="Times New Roman"/>
        </w:rPr>
        <w:t>: a systematic review of reviews.</w:t>
      </w:r>
      <w:r w:rsidR="00EC6EF5" w:rsidRPr="00020C67">
        <w:rPr>
          <w:rFonts w:ascii="Cambria" w:eastAsia="Times New Roman" w:hAnsi="Cambria" w:cs="Times New Roman"/>
        </w:rPr>
        <w:t xml:space="preserve"> </w:t>
      </w:r>
      <w:r w:rsidR="00811F93" w:rsidRPr="00020C67">
        <w:rPr>
          <w:rFonts w:ascii="Cambria" w:eastAsia="Times New Roman" w:hAnsi="Cambria" w:cs="Times New Roman"/>
        </w:rPr>
        <w:t>International journal of medical informatics. 2012;81(1):1-11.</w:t>
      </w:r>
      <w:r w:rsidR="00FD1D49" w:rsidRPr="00020C67">
        <w:rPr>
          <w:rFonts w:ascii="Cambria" w:eastAsia="Times New Roman" w:hAnsi="Cambria" w:cs="Times New Roman"/>
        </w:rPr>
        <w:t>)</w:t>
      </w:r>
      <w:r w:rsidR="00EC6EF5" w:rsidRPr="00020C67">
        <w:rPr>
          <w:rFonts w:ascii="Cambria" w:eastAsia="Times New Roman" w:hAnsi="Cambria" w:cs="Times New Roman"/>
        </w:rPr>
        <w:t xml:space="preserve"> D</w:t>
      </w:r>
      <w:r w:rsidRPr="00020C67">
        <w:rPr>
          <w:rFonts w:ascii="Cambria" w:eastAsia="Times New Roman" w:hAnsi="Cambria" w:cs="Times New Roman"/>
        </w:rPr>
        <w:t>ifferences in implementation</w:t>
      </w:r>
      <w:r w:rsidR="00EC6EF5" w:rsidRPr="00020C67">
        <w:rPr>
          <w:rFonts w:ascii="Cambria" w:eastAsia="Times New Roman" w:hAnsi="Cambria" w:cs="Times New Roman"/>
        </w:rPr>
        <w:t xml:space="preserve"> will</w:t>
      </w:r>
      <w:r w:rsidRPr="00020C67">
        <w:rPr>
          <w:rFonts w:ascii="Cambria" w:eastAsia="Times New Roman" w:hAnsi="Cambria" w:cs="Times New Roman"/>
        </w:rPr>
        <w:t xml:space="preserve"> affect </w:t>
      </w:r>
      <w:r w:rsidR="00AD53BA" w:rsidRPr="00020C67">
        <w:rPr>
          <w:rFonts w:ascii="Cambria" w:eastAsia="Times New Roman" w:hAnsi="Cambria" w:cs="Times New Roman"/>
        </w:rPr>
        <w:t>tele</w:t>
      </w:r>
      <w:r w:rsidR="00AD53BA">
        <w:rPr>
          <w:rFonts w:ascii="Cambria" w:eastAsia="Times New Roman" w:hAnsi="Cambria" w:cs="Times New Roman"/>
        </w:rPr>
        <w:t>health</w:t>
      </w:r>
      <w:r w:rsidR="00AD53BA" w:rsidRPr="00020C67">
        <w:rPr>
          <w:rFonts w:ascii="Cambria" w:eastAsia="Times New Roman" w:hAnsi="Cambria" w:cs="Times New Roman"/>
        </w:rPr>
        <w:t xml:space="preserve"> </w:t>
      </w:r>
      <w:r w:rsidRPr="00020C67">
        <w:rPr>
          <w:rFonts w:ascii="Cambria" w:eastAsia="Times New Roman" w:hAnsi="Cambria" w:cs="Times New Roman"/>
        </w:rPr>
        <w:t xml:space="preserve">uptake and impact. </w:t>
      </w:r>
      <w:r w:rsidR="00EC6EF5" w:rsidRPr="00020C67">
        <w:rPr>
          <w:rFonts w:ascii="Cambria" w:eastAsia="Times New Roman" w:hAnsi="Cambria" w:cs="Times New Roman"/>
        </w:rPr>
        <w:t xml:space="preserve">Thus, it is important </w:t>
      </w:r>
      <w:r w:rsidR="00C60C28" w:rsidRPr="00020C67">
        <w:rPr>
          <w:rFonts w:ascii="Cambria" w:eastAsia="Times New Roman" w:hAnsi="Cambria" w:cs="Times New Roman"/>
        </w:rPr>
        <w:t xml:space="preserve">that </w:t>
      </w:r>
      <w:r w:rsidRPr="00020C67">
        <w:rPr>
          <w:rFonts w:ascii="Cambria" w:eastAsia="Times New Roman" w:hAnsi="Cambria" w:cs="Times New Roman"/>
        </w:rPr>
        <w:t xml:space="preserve">patients </w:t>
      </w:r>
      <w:r w:rsidR="00C60C28" w:rsidRPr="00020C67">
        <w:rPr>
          <w:rFonts w:ascii="Cambria" w:eastAsia="Times New Roman" w:hAnsi="Cambria" w:cs="Times New Roman"/>
        </w:rPr>
        <w:t xml:space="preserve">and families </w:t>
      </w:r>
      <w:r w:rsidRPr="00020C67">
        <w:rPr>
          <w:rFonts w:ascii="Cambria" w:eastAsia="Times New Roman" w:hAnsi="Cambria" w:cs="Times New Roman"/>
        </w:rPr>
        <w:t xml:space="preserve">receive enough technical assistance to overcome barriers in receiving </w:t>
      </w:r>
      <w:r w:rsidR="00AD53BA" w:rsidRPr="00020C67">
        <w:rPr>
          <w:rFonts w:ascii="Cambria" w:eastAsia="Times New Roman" w:hAnsi="Cambria" w:cs="Times New Roman"/>
        </w:rPr>
        <w:t>tele</w:t>
      </w:r>
      <w:r w:rsidR="00AD53BA">
        <w:rPr>
          <w:rFonts w:ascii="Cambria" w:eastAsia="Times New Roman" w:hAnsi="Cambria" w:cs="Times New Roman"/>
        </w:rPr>
        <w:t>health</w:t>
      </w:r>
      <w:r w:rsidR="00AD53BA" w:rsidRPr="00020C67">
        <w:rPr>
          <w:rFonts w:ascii="Cambria" w:eastAsia="Times New Roman" w:hAnsi="Cambria" w:cs="Times New Roman"/>
        </w:rPr>
        <w:t xml:space="preserve"> </w:t>
      </w:r>
      <w:r w:rsidRPr="00020C67">
        <w:rPr>
          <w:rFonts w:ascii="Cambria" w:eastAsia="Times New Roman" w:hAnsi="Cambria" w:cs="Times New Roman"/>
        </w:rPr>
        <w:t>visits</w:t>
      </w:r>
      <w:r w:rsidR="00C30B9E" w:rsidRPr="00020C67">
        <w:rPr>
          <w:rFonts w:ascii="Cambria" w:eastAsia="Times New Roman" w:hAnsi="Cambria" w:cs="Times New Roman"/>
        </w:rPr>
        <w:t>, and that the information provided in these visits is culturally and linguistically appropr</w:t>
      </w:r>
      <w:r w:rsidR="006353E4" w:rsidRPr="00020C67">
        <w:rPr>
          <w:rFonts w:ascii="Cambria" w:eastAsia="Times New Roman" w:hAnsi="Cambria" w:cs="Times New Roman"/>
        </w:rPr>
        <w:t xml:space="preserve">iate, and not at a high reading level. </w:t>
      </w:r>
      <w:r w:rsidRPr="00020C67">
        <w:rPr>
          <w:rFonts w:ascii="Cambria" w:eastAsia="Times New Roman" w:hAnsi="Cambria" w:cs="Times New Roman"/>
        </w:rPr>
        <w:t>Understanding patient and provider experiences is essential to determining the continued</w:t>
      </w:r>
      <w:r w:rsidR="00C60A99" w:rsidRPr="00020C67">
        <w:rPr>
          <w:rFonts w:ascii="Cambria" w:eastAsia="Times New Roman" w:hAnsi="Cambria" w:cs="Times New Roman"/>
        </w:rPr>
        <w:t xml:space="preserve"> </w:t>
      </w:r>
      <w:r w:rsidRPr="00020C67">
        <w:rPr>
          <w:rFonts w:ascii="Cambria" w:eastAsia="Times New Roman" w:hAnsi="Cambria" w:cs="Times New Roman"/>
        </w:rPr>
        <w:t xml:space="preserve">value of </w:t>
      </w:r>
      <w:r w:rsidR="00AD53BA" w:rsidRPr="00020C67">
        <w:rPr>
          <w:rFonts w:ascii="Cambria" w:eastAsia="Times New Roman" w:hAnsi="Cambria" w:cs="Times New Roman"/>
        </w:rPr>
        <w:t>tele</w:t>
      </w:r>
      <w:r w:rsidR="00AD53BA">
        <w:rPr>
          <w:rFonts w:ascii="Cambria" w:eastAsia="Times New Roman" w:hAnsi="Cambria" w:cs="Times New Roman"/>
        </w:rPr>
        <w:t>health</w:t>
      </w:r>
      <w:r w:rsidR="00AD53BA" w:rsidRPr="00020C67">
        <w:rPr>
          <w:rFonts w:ascii="Cambria" w:eastAsia="Times New Roman" w:hAnsi="Cambria" w:cs="Times New Roman"/>
        </w:rPr>
        <w:t xml:space="preserve"> </w:t>
      </w:r>
      <w:r w:rsidRPr="00020C67">
        <w:rPr>
          <w:rFonts w:ascii="Cambria" w:eastAsia="Times New Roman" w:hAnsi="Cambria" w:cs="Times New Roman"/>
        </w:rPr>
        <w:t>in primary care and its impact on disparities.</w:t>
      </w:r>
      <w:r w:rsidR="00C60A99" w:rsidRPr="00020C67">
        <w:rPr>
          <w:rFonts w:ascii="Cambria" w:eastAsia="Times New Roman" w:hAnsi="Cambria" w:cs="Times New Roman"/>
        </w:rPr>
        <w:t xml:space="preserve"> </w:t>
      </w:r>
      <w:r w:rsidRPr="00020C67">
        <w:rPr>
          <w:rFonts w:ascii="Cambria" w:eastAsia="Times New Roman" w:hAnsi="Cambria" w:cs="Times New Roman"/>
        </w:rPr>
        <w:t xml:space="preserve">Addressing this suite of critical questions requires both qualitative and quantitative methods, as well as close collaboration with stakeholders. </w:t>
      </w:r>
    </w:p>
    <w:p w14:paraId="4D767B1B" w14:textId="30557A7D" w:rsidR="00A95DF0" w:rsidRPr="00381047" w:rsidRDefault="00A95DF0" w:rsidP="00020C67">
      <w:pPr>
        <w:spacing w:before="200" w:line="240" w:lineRule="auto"/>
        <w:jc w:val="both"/>
        <w:rPr>
          <w:rFonts w:ascii="Cambria" w:eastAsia="Times New Roman" w:hAnsi="Cambria" w:cs="Times New Roman"/>
          <w:color w:val="000000"/>
        </w:rPr>
      </w:pPr>
      <w:r w:rsidRPr="00020C67">
        <w:rPr>
          <w:rFonts w:ascii="Cambria" w:eastAsia="Times New Roman" w:hAnsi="Cambria" w:cs="Times New Roman"/>
          <w:color w:val="000000"/>
        </w:rPr>
        <w:t xml:space="preserve">In overcoming barriers to adoption of genetic testing, it will be of major importance to help all health care providers and patients/families to understand the meaning of these test results. </w:t>
      </w:r>
      <w:r w:rsidR="00D12EEC" w:rsidRPr="00020C67">
        <w:rPr>
          <w:rFonts w:ascii="Cambria" w:eastAsia="Times New Roman" w:hAnsi="Cambria" w:cs="Times New Roman"/>
          <w:color w:val="000000"/>
        </w:rPr>
        <w:t>W</w:t>
      </w:r>
      <w:r w:rsidRPr="00020C67">
        <w:rPr>
          <w:rFonts w:ascii="Cambria" w:eastAsia="Times New Roman" w:hAnsi="Cambria" w:cs="Times New Roman"/>
          <w:color w:val="000000"/>
        </w:rPr>
        <w:t>e will compare parental understanding of and satisfaction with receiving genetic test results for their child among those</w:t>
      </w:r>
      <w:r w:rsidR="00D12EEC" w:rsidRPr="00020C67">
        <w:rPr>
          <w:rFonts w:ascii="Cambria" w:eastAsia="Times New Roman" w:hAnsi="Cambria" w:cs="Times New Roman"/>
          <w:color w:val="000000"/>
        </w:rPr>
        <w:t xml:space="preserve"> who receive results via telehealth </w:t>
      </w:r>
      <w:r w:rsidRPr="00020C67">
        <w:rPr>
          <w:rFonts w:ascii="Cambria" w:eastAsia="Times New Roman" w:hAnsi="Cambria" w:cs="Times New Roman"/>
          <w:iCs/>
          <w:color w:val="000000"/>
        </w:rPr>
        <w:t>with screen</w:t>
      </w:r>
      <w:r w:rsidR="00080F0A" w:rsidRPr="00020C67">
        <w:rPr>
          <w:rFonts w:ascii="Cambria" w:eastAsia="Times New Roman" w:hAnsi="Cambria" w:cs="Times New Roman"/>
          <w:iCs/>
          <w:color w:val="000000"/>
        </w:rPr>
        <w:t>-</w:t>
      </w:r>
      <w:r w:rsidRPr="00020C67">
        <w:rPr>
          <w:rFonts w:ascii="Cambria" w:eastAsia="Times New Roman" w:hAnsi="Cambria" w:cs="Times New Roman"/>
          <w:iCs/>
          <w:color w:val="000000"/>
        </w:rPr>
        <w:t>sharing capabilities</w:t>
      </w:r>
      <w:r w:rsidRPr="00020C67">
        <w:rPr>
          <w:rFonts w:ascii="Cambria" w:eastAsia="Times New Roman" w:hAnsi="Cambria" w:cs="Times New Roman"/>
          <w:color w:val="000000"/>
        </w:rPr>
        <w:t xml:space="preserve"> versus those </w:t>
      </w:r>
      <w:r w:rsidRPr="00020C67">
        <w:rPr>
          <w:rFonts w:ascii="Cambria" w:eastAsia="Times New Roman" w:hAnsi="Cambria" w:cs="Times New Roman"/>
          <w:iCs/>
          <w:color w:val="000000"/>
        </w:rPr>
        <w:t>receiving results</w:t>
      </w:r>
      <w:r w:rsidR="00D12EEC" w:rsidRPr="00020C67">
        <w:rPr>
          <w:rFonts w:ascii="Cambria" w:eastAsia="Times New Roman" w:hAnsi="Cambria" w:cs="Times New Roman"/>
          <w:iCs/>
          <w:color w:val="000000"/>
        </w:rPr>
        <w:t xml:space="preserve"> via telehealth</w:t>
      </w:r>
      <w:r w:rsidRPr="00020C67">
        <w:rPr>
          <w:rFonts w:ascii="Cambria" w:eastAsia="Times New Roman" w:hAnsi="Cambria" w:cs="Times New Roman"/>
          <w:iCs/>
          <w:color w:val="000000"/>
        </w:rPr>
        <w:t xml:space="preserve"> without screen</w:t>
      </w:r>
      <w:r w:rsidR="00080F0A" w:rsidRPr="00020C67">
        <w:rPr>
          <w:rFonts w:ascii="Cambria" w:eastAsia="Times New Roman" w:hAnsi="Cambria" w:cs="Times New Roman"/>
          <w:iCs/>
          <w:color w:val="000000"/>
        </w:rPr>
        <w:t>-</w:t>
      </w:r>
      <w:r w:rsidRPr="00020C67">
        <w:rPr>
          <w:rFonts w:ascii="Cambria" w:eastAsia="Times New Roman" w:hAnsi="Cambria" w:cs="Times New Roman"/>
          <w:iCs/>
          <w:color w:val="000000"/>
        </w:rPr>
        <w:t>share capabilities</w:t>
      </w:r>
      <w:r w:rsidRPr="00020C67">
        <w:rPr>
          <w:rFonts w:ascii="Cambria" w:eastAsia="Times New Roman" w:hAnsi="Cambria" w:cs="Times New Roman"/>
          <w:color w:val="000000"/>
        </w:rPr>
        <w:t xml:space="preserve">. </w:t>
      </w:r>
      <w:r w:rsidRPr="00020C67">
        <w:rPr>
          <w:rFonts w:ascii="Cambria" w:eastAsia="Times New Roman" w:hAnsi="Cambria" w:cs="Times New Roman"/>
          <w:iCs/>
          <w:color w:val="000000"/>
        </w:rPr>
        <w:t>With the increased need for telegenetics services in the age of COVID-19, many secure systems are not equipped with screen</w:t>
      </w:r>
      <w:r w:rsidR="002E4BA2" w:rsidRPr="00020C67">
        <w:rPr>
          <w:rFonts w:ascii="Cambria" w:eastAsia="Times New Roman" w:hAnsi="Cambria" w:cs="Times New Roman"/>
          <w:iCs/>
          <w:color w:val="000000"/>
        </w:rPr>
        <w:t>-</w:t>
      </w:r>
      <w:r w:rsidRPr="00020C67">
        <w:rPr>
          <w:rFonts w:ascii="Cambria" w:eastAsia="Times New Roman" w:hAnsi="Cambria" w:cs="Times New Roman"/>
          <w:iCs/>
          <w:color w:val="000000"/>
        </w:rPr>
        <w:t>sharing capabilities, requiring genetic professionals to send resources or results before or after the visit.</w:t>
      </w:r>
      <w:r w:rsidR="00D12EEC" w:rsidRPr="00020C67">
        <w:rPr>
          <w:rFonts w:ascii="Cambria" w:eastAsia="Times New Roman" w:hAnsi="Cambria" w:cs="Times New Roman"/>
          <w:iCs/>
          <w:color w:val="000000"/>
        </w:rPr>
        <w:t xml:space="preserve"> We would like to explore the effectiveness of using screen</w:t>
      </w:r>
      <w:r w:rsidR="002E4BA2" w:rsidRPr="00020C67">
        <w:rPr>
          <w:rFonts w:ascii="Cambria" w:eastAsia="Times New Roman" w:hAnsi="Cambria" w:cs="Times New Roman"/>
          <w:iCs/>
          <w:color w:val="000000"/>
        </w:rPr>
        <w:t>-</w:t>
      </w:r>
      <w:r w:rsidR="00D12EEC" w:rsidRPr="00020C67">
        <w:rPr>
          <w:rFonts w:ascii="Cambria" w:eastAsia="Times New Roman" w:hAnsi="Cambria" w:cs="Times New Roman"/>
          <w:iCs/>
          <w:color w:val="000000"/>
        </w:rPr>
        <w:t>sharing technologies in telehealth and how it impacts genomic understanding.</w:t>
      </w:r>
      <w:r w:rsidRPr="00020C67">
        <w:rPr>
          <w:rFonts w:ascii="Cambria" w:eastAsia="Times New Roman" w:hAnsi="Cambria" w:cs="Times New Roman"/>
          <w:iCs/>
          <w:color w:val="000000"/>
        </w:rPr>
        <w:t xml:space="preserve"> </w:t>
      </w:r>
      <w:r w:rsidR="001B5534" w:rsidRPr="00020C67">
        <w:rPr>
          <w:rFonts w:ascii="Cambria" w:eastAsia="Times New Roman" w:hAnsi="Cambria" w:cs="Times New Roman"/>
          <w:color w:val="000000"/>
        </w:rPr>
        <w:t xml:space="preserve">For each participant we will generate a personalized results report via a </w:t>
      </w:r>
      <w:r w:rsidR="00D12EEC" w:rsidRPr="00020C67">
        <w:rPr>
          <w:rFonts w:ascii="Cambria" w:eastAsia="Times New Roman" w:hAnsi="Cambria" w:cs="Times New Roman"/>
          <w:color w:val="000000"/>
        </w:rPr>
        <w:t>genomics communication tool called GU</w:t>
      </w:r>
      <w:r w:rsidR="001B5534" w:rsidRPr="00020C67">
        <w:rPr>
          <w:rFonts w:ascii="Cambria" w:eastAsia="Times New Roman" w:hAnsi="Cambria" w:cs="Times New Roman"/>
          <w:color w:val="000000"/>
        </w:rPr>
        <w:t>Í</w:t>
      </w:r>
      <w:r w:rsidR="00D12EEC" w:rsidRPr="00020C67">
        <w:rPr>
          <w:rFonts w:ascii="Cambria" w:eastAsia="Times New Roman" w:hAnsi="Cambria" w:cs="Times New Roman"/>
          <w:color w:val="000000"/>
        </w:rPr>
        <w:t xml:space="preserve">A </w:t>
      </w:r>
      <w:r w:rsidR="001B5534" w:rsidRPr="00020C67">
        <w:rPr>
          <w:rFonts w:ascii="Cambria" w:eastAsia="Times New Roman" w:hAnsi="Cambria" w:cs="Times New Roman"/>
          <w:color w:val="000000"/>
        </w:rPr>
        <w:t>previously developed by our group, and a PDF handout of the GUÍA mailed, or a digitized copy emailed, to participants after post-test genetic counseling</w:t>
      </w:r>
      <w:r w:rsidR="00D12EEC" w:rsidRPr="00020C67">
        <w:rPr>
          <w:rFonts w:ascii="Cambria" w:eastAsia="Times New Roman" w:hAnsi="Cambria" w:cs="Times New Roman"/>
          <w:color w:val="000000"/>
        </w:rPr>
        <w:t xml:space="preserve">. </w:t>
      </w:r>
      <w:r w:rsidR="001B5534" w:rsidRPr="00020C67">
        <w:rPr>
          <w:rFonts w:ascii="Cambria" w:eastAsia="Times New Roman" w:hAnsi="Cambria" w:cs="Times New Roman"/>
          <w:color w:val="000000"/>
        </w:rPr>
        <w:t xml:space="preserve">During the post-test genetic counselling session, the digitized copy of the </w:t>
      </w:r>
      <w:r w:rsidR="00D12EEC" w:rsidRPr="00020C67">
        <w:rPr>
          <w:rFonts w:ascii="Cambria" w:eastAsia="Times New Roman" w:hAnsi="Cambria" w:cs="Times New Roman"/>
          <w:color w:val="000000"/>
        </w:rPr>
        <w:t>GU</w:t>
      </w:r>
      <w:r w:rsidR="001B5534" w:rsidRPr="00020C67">
        <w:rPr>
          <w:rFonts w:ascii="Cambria" w:eastAsia="Times New Roman" w:hAnsi="Cambria" w:cs="Times New Roman"/>
          <w:color w:val="000000"/>
        </w:rPr>
        <w:t>Í</w:t>
      </w:r>
      <w:r w:rsidR="00D12EEC" w:rsidRPr="00020C67">
        <w:rPr>
          <w:rFonts w:ascii="Cambria" w:eastAsia="Times New Roman" w:hAnsi="Cambria" w:cs="Times New Roman"/>
          <w:color w:val="000000"/>
        </w:rPr>
        <w:t>A</w:t>
      </w:r>
      <w:r w:rsidR="001B5534" w:rsidRPr="00020C67">
        <w:rPr>
          <w:rFonts w:ascii="Cambria" w:eastAsia="Times New Roman" w:hAnsi="Cambria" w:cs="Times New Roman"/>
          <w:color w:val="000000"/>
        </w:rPr>
        <w:t xml:space="preserve"> report</w:t>
      </w:r>
      <w:r w:rsidR="00D12EEC" w:rsidRPr="00020C67">
        <w:rPr>
          <w:rFonts w:ascii="Cambria" w:eastAsia="Times New Roman" w:hAnsi="Cambria" w:cs="Times New Roman"/>
          <w:color w:val="000000"/>
        </w:rPr>
        <w:t xml:space="preserve"> will be shared on the screen for one group, while the other group will simply</w:t>
      </w:r>
      <w:r w:rsidR="001B5534" w:rsidRPr="00020C67">
        <w:rPr>
          <w:rFonts w:ascii="Cambria" w:eastAsia="Times New Roman" w:hAnsi="Cambria" w:cs="Times New Roman"/>
          <w:color w:val="000000"/>
        </w:rPr>
        <w:t xml:space="preserve"> be shown visual images</w:t>
      </w:r>
      <w:r w:rsidR="00B0382C" w:rsidRPr="00020C67">
        <w:rPr>
          <w:rFonts w:ascii="Cambria" w:eastAsia="Times New Roman" w:hAnsi="Cambria" w:cs="Times New Roman"/>
          <w:color w:val="000000"/>
        </w:rPr>
        <w:t>, similar to those contained in the report,</w:t>
      </w:r>
      <w:r w:rsidR="001B5534" w:rsidRPr="00020C67">
        <w:rPr>
          <w:rFonts w:ascii="Cambria" w:eastAsia="Times New Roman" w:hAnsi="Cambria" w:cs="Times New Roman"/>
          <w:color w:val="000000"/>
        </w:rPr>
        <w:t xml:space="preserve"> over a camera</w:t>
      </w:r>
      <w:r w:rsidR="00D12EEC" w:rsidRPr="009D7DDD">
        <w:rPr>
          <w:rFonts w:ascii="Cambria" w:eastAsia="Times New Roman" w:hAnsi="Cambria" w:cs="Times New Roman"/>
          <w:color w:val="000000"/>
        </w:rPr>
        <w:t>.</w:t>
      </w:r>
      <w:r w:rsidR="001B5534" w:rsidRPr="00381CE7">
        <w:rPr>
          <w:rFonts w:ascii="Cambria" w:eastAsia="Times New Roman" w:hAnsi="Cambria" w:cs="Times New Roman"/>
          <w:color w:val="000000"/>
        </w:rPr>
        <w:t xml:space="preserve"> The study will compare </w:t>
      </w:r>
      <w:r w:rsidR="00B0382C" w:rsidRPr="00381CE7">
        <w:rPr>
          <w:rFonts w:ascii="Cambria" w:eastAsia="Times New Roman" w:hAnsi="Cambria" w:cs="Times New Roman"/>
          <w:color w:val="000000"/>
        </w:rPr>
        <w:t xml:space="preserve">these two groups by assessing </w:t>
      </w:r>
      <w:r w:rsidR="001B5534" w:rsidRPr="00381047">
        <w:rPr>
          <w:rFonts w:ascii="Cambria" w:eastAsia="Times New Roman" w:hAnsi="Cambria" w:cs="Times New Roman"/>
          <w:color w:val="000000"/>
        </w:rPr>
        <w:t>participant understanding of and satisfaction with receiving genetic test results for their child.</w:t>
      </w:r>
    </w:p>
    <w:p w14:paraId="555D903A" w14:textId="77777777" w:rsidR="00A95DF0" w:rsidRPr="00020C67" w:rsidRDefault="00A95DF0" w:rsidP="00020C67">
      <w:pPr>
        <w:spacing w:before="200" w:line="240" w:lineRule="auto"/>
        <w:jc w:val="both"/>
        <w:rPr>
          <w:rFonts w:ascii="Cambria" w:eastAsia="Times New Roman" w:hAnsi="Cambria" w:cs="Times New Roman"/>
        </w:rPr>
      </w:pPr>
      <w:r w:rsidRPr="00381047">
        <w:rPr>
          <w:rFonts w:ascii="Cambria" w:eastAsia="Times New Roman" w:hAnsi="Cambria" w:cs="Times New Roman"/>
          <w:b/>
          <w:bCs/>
          <w:color w:val="000000"/>
        </w:rPr>
        <w:t>Stakeholder Engagement</w:t>
      </w:r>
    </w:p>
    <w:p w14:paraId="0172DD9C" w14:textId="77777777" w:rsidR="00A95DF0" w:rsidRPr="00020C67" w:rsidRDefault="00A95DF0" w:rsidP="00020C67">
      <w:pPr>
        <w:spacing w:before="200" w:line="240" w:lineRule="auto"/>
        <w:jc w:val="both"/>
        <w:rPr>
          <w:rFonts w:ascii="Cambria" w:eastAsia="Times New Roman" w:hAnsi="Cambria" w:cs="Times New Roman"/>
        </w:rPr>
      </w:pPr>
      <w:r w:rsidRPr="009D7DDD">
        <w:rPr>
          <w:rFonts w:ascii="Cambria" w:eastAsia="Times New Roman" w:hAnsi="Cambria" w:cs="Times New Roman"/>
          <w:color w:val="000000"/>
        </w:rPr>
        <w:t>Efforts to develop effective, sustainable, scalable interventions that advance equity and advance genomics in diverse populations have met with insufficient success.6 In part, because there is inadequate engagement of</w:t>
      </w:r>
      <w:r w:rsidRPr="00381CE7">
        <w:rPr>
          <w:rFonts w:ascii="Cambria" w:eastAsia="Times New Roman" w:hAnsi="Cambria" w:cs="Times New Roman"/>
          <w:color w:val="000000"/>
        </w:rPr>
        <w:t xml:space="preserve"> the stakeholder groups who understand and can impact root causes of disparities. Research traditionally takes place in disciplinary, disease and demographic silos, and </w:t>
      </w:r>
      <w:r w:rsidRPr="00381CE7">
        <w:rPr>
          <w:rFonts w:ascii="Cambria" w:eastAsia="Times New Roman" w:hAnsi="Cambria" w:cs="Times New Roman"/>
          <w:color w:val="000000"/>
        </w:rPr>
        <w:lastRenderedPageBreak/>
        <w:t>low-income, minority communities most disproportionately impacted by disparities are to</w:t>
      </w:r>
      <w:r w:rsidRPr="00381047">
        <w:rPr>
          <w:rFonts w:ascii="Cambria" w:eastAsia="Times New Roman" w:hAnsi="Cambria" w:cs="Times New Roman"/>
          <w:color w:val="000000"/>
        </w:rPr>
        <w:t>o often marginalized or excluded from contributing to research, other than as subjects. Building teams of trans-disciplinary experts within health systems (team science), has begun to challenge traditional ways of thinking about and conducting scientific endeavors.7,8 Building a culture of trans-disciplinary research includes increased familiarity, participatory goal setting, and encouraging feelings of inclusiveness among team members to foster social cohesiveness.9-12 Diverse stakeholders can provide additional insights, approaches and resources, and spark innovation by merging expertise in qualitative, secondary data, clinical trial, digital health, community and clinical research. This can facilitate understanding of, access to, and implementation of genomic medicine.</w:t>
      </w:r>
    </w:p>
    <w:p w14:paraId="2EAC69A9" w14:textId="51999617" w:rsidR="00A95DF0" w:rsidRPr="00020C67" w:rsidRDefault="00A95DF0" w:rsidP="00020C67">
      <w:pPr>
        <w:spacing w:before="20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Our team has significant experience in stakeholder engagement, partnership with patients from underserved communities, clinicians and advocates in Harlem and the Bronx, and has informed the field of stakeholder-engaged genomics research. We </w:t>
      </w:r>
      <w:r w:rsidRPr="00381CE7">
        <w:rPr>
          <w:rFonts w:ascii="Cambria" w:eastAsia="Times New Roman" w:hAnsi="Cambria" w:cs="Times New Roman"/>
          <w:color w:val="000000"/>
        </w:rPr>
        <w:t>have engaged the Genomics Stakeholder Board at Mount Sinai to advise about our study design.</w:t>
      </w:r>
    </w:p>
    <w:p w14:paraId="6937DCF3" w14:textId="77777777" w:rsidR="00A95DF0" w:rsidRPr="00020C67" w:rsidRDefault="00A95DF0" w:rsidP="00020C67">
      <w:pPr>
        <w:spacing w:before="200" w:line="240" w:lineRule="auto"/>
        <w:jc w:val="both"/>
        <w:rPr>
          <w:rFonts w:ascii="Cambria" w:eastAsia="Times New Roman" w:hAnsi="Cambria" w:cs="Times New Roman"/>
          <w:b/>
        </w:rPr>
      </w:pPr>
      <w:r w:rsidRPr="009D7DDD">
        <w:rPr>
          <w:rFonts w:ascii="Cambria" w:eastAsia="Times New Roman" w:hAnsi="Cambria" w:cs="Times New Roman"/>
          <w:b/>
          <w:color w:val="000000"/>
        </w:rPr>
        <w:t>Summary</w:t>
      </w:r>
    </w:p>
    <w:p w14:paraId="1F244B5B" w14:textId="34CCA958" w:rsidR="00A95DF0" w:rsidRPr="00020C67" w:rsidRDefault="00A95DF0" w:rsidP="00020C67">
      <w:pPr>
        <w:spacing w:before="20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Taken as a whole, the </w:t>
      </w:r>
      <w:r w:rsidR="00B1673B" w:rsidRPr="00381CE7">
        <w:rPr>
          <w:rFonts w:ascii="Cambria" w:eastAsia="Times New Roman" w:hAnsi="Cambria" w:cs="Times New Roman"/>
          <w:color w:val="000000"/>
        </w:rPr>
        <w:t>Tele</w:t>
      </w:r>
      <w:r w:rsidRPr="00381CE7">
        <w:rPr>
          <w:rFonts w:ascii="Cambria" w:eastAsia="Times New Roman" w:hAnsi="Cambria" w:cs="Times New Roman"/>
          <w:color w:val="000000"/>
        </w:rPr>
        <w:t>KidSeq program will significantly advance the implementation of genomic medicine, particularly for children, young adults and the</w:t>
      </w:r>
      <w:r w:rsidRPr="00381047">
        <w:rPr>
          <w:rFonts w:ascii="Cambria" w:eastAsia="Times New Roman" w:hAnsi="Cambria" w:cs="Times New Roman"/>
          <w:color w:val="000000"/>
        </w:rPr>
        <w:t>ir families in Harlem and the Bronx. We will assess the clinical utility of genomic medicine in three broad areas of pediatric disorders, while engaging a range of providers and community advisors to overcome the well-documented barriers to inclusion of underserved and under-represented populations in genomic research. We will</w:t>
      </w:r>
      <w:r w:rsidRPr="00381047">
        <w:rPr>
          <w:rFonts w:ascii="Cambria" w:eastAsia="Times New Roman" w:hAnsi="Cambria" w:cs="Times New Roman"/>
          <w:iCs/>
          <w:color w:val="000000"/>
        </w:rPr>
        <w:t xml:space="preserve"> also collect data points related to</w:t>
      </w:r>
      <w:r w:rsidRPr="00485E38">
        <w:rPr>
          <w:rFonts w:ascii="Cambria" w:eastAsia="Times New Roman" w:hAnsi="Cambria" w:cs="Times New Roman"/>
          <w:color w:val="000000"/>
        </w:rPr>
        <w:t xml:space="preserve"> </w:t>
      </w:r>
      <w:r w:rsidRPr="00485E38">
        <w:rPr>
          <w:rFonts w:ascii="Cambria" w:eastAsia="Times New Roman" w:hAnsi="Cambria" w:cs="Times New Roman"/>
          <w:iCs/>
          <w:color w:val="000000"/>
        </w:rPr>
        <w:t>tele</w:t>
      </w:r>
      <w:r w:rsidR="00A53B4A" w:rsidRPr="00485E38">
        <w:rPr>
          <w:rFonts w:ascii="Cambria" w:eastAsia="Times New Roman" w:hAnsi="Cambria" w:cs="Times New Roman"/>
          <w:iCs/>
          <w:color w:val="000000"/>
        </w:rPr>
        <w:t>health</w:t>
      </w:r>
      <w:r w:rsidRPr="00485E38">
        <w:rPr>
          <w:rFonts w:ascii="Cambria" w:eastAsia="Times New Roman" w:hAnsi="Cambria" w:cs="Times New Roman"/>
          <w:iCs/>
          <w:color w:val="000000"/>
        </w:rPr>
        <w:t xml:space="preserve"> delivery methods by</w:t>
      </w:r>
      <w:r w:rsidRPr="00485E38">
        <w:rPr>
          <w:rFonts w:ascii="Cambria" w:eastAsia="Times New Roman" w:hAnsi="Cambria" w:cs="Times New Roman"/>
          <w:color w:val="000000"/>
        </w:rPr>
        <w:t xml:space="preserve"> testing, analyzing, and implementing </w:t>
      </w:r>
      <w:r w:rsidRPr="00485E38">
        <w:rPr>
          <w:rFonts w:ascii="Cambria" w:eastAsia="Times New Roman" w:hAnsi="Cambria" w:cs="Times New Roman"/>
          <w:iCs/>
          <w:color w:val="000000"/>
        </w:rPr>
        <w:t>screen</w:t>
      </w:r>
      <w:r w:rsidR="002E4BA2" w:rsidRPr="00485E38">
        <w:rPr>
          <w:rFonts w:ascii="Cambria" w:eastAsia="Times New Roman" w:hAnsi="Cambria" w:cs="Times New Roman"/>
          <w:iCs/>
          <w:color w:val="000000"/>
        </w:rPr>
        <w:t>-</w:t>
      </w:r>
      <w:r w:rsidRPr="00485E38">
        <w:rPr>
          <w:rFonts w:ascii="Cambria" w:eastAsia="Times New Roman" w:hAnsi="Cambria" w:cs="Times New Roman"/>
          <w:iCs/>
          <w:color w:val="000000"/>
        </w:rPr>
        <w:t>share technology</w:t>
      </w:r>
      <w:r w:rsidR="00B0382C" w:rsidRPr="00485E38">
        <w:rPr>
          <w:rFonts w:ascii="Cambria" w:eastAsia="Times New Roman" w:hAnsi="Cambria" w:cs="Times New Roman"/>
          <w:iCs/>
          <w:color w:val="000000"/>
        </w:rPr>
        <w:t>. We will standardize the participants experience by using</w:t>
      </w:r>
      <w:r w:rsidR="00B0382C"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a novel</w:t>
      </w:r>
      <w:r w:rsidR="00B0382C" w:rsidRPr="00485E38">
        <w:rPr>
          <w:rFonts w:ascii="Cambria" w:eastAsia="Times New Roman" w:hAnsi="Cambria" w:cs="Times New Roman"/>
          <w:color w:val="000000"/>
        </w:rPr>
        <w:t>, digitized communication tool</w:t>
      </w:r>
      <w:r w:rsidRPr="00485E38">
        <w:rPr>
          <w:rFonts w:ascii="Cambria" w:eastAsia="Times New Roman" w:hAnsi="Cambria" w:cs="Times New Roman"/>
          <w:color w:val="000000"/>
        </w:rPr>
        <w:t xml:space="preserve"> GU</w:t>
      </w:r>
      <w:r w:rsidR="00B0382C" w:rsidRPr="00485E38">
        <w:rPr>
          <w:rFonts w:ascii="Cambria" w:eastAsia="Times New Roman" w:hAnsi="Cambria" w:cs="Times New Roman"/>
          <w:color w:val="000000"/>
        </w:rPr>
        <w:t>Í</w:t>
      </w:r>
      <w:r w:rsidRPr="00485E38">
        <w:rPr>
          <w:rFonts w:ascii="Cambria" w:eastAsia="Times New Roman" w:hAnsi="Cambria" w:cs="Times New Roman"/>
          <w:color w:val="000000"/>
        </w:rPr>
        <w:t xml:space="preserve">A to </w:t>
      </w:r>
      <w:r w:rsidR="00B0382C" w:rsidRPr="00485E38">
        <w:rPr>
          <w:rFonts w:ascii="Cambria" w:eastAsia="Times New Roman" w:hAnsi="Cambria" w:cs="Times New Roman"/>
          <w:color w:val="000000"/>
        </w:rPr>
        <w:t xml:space="preserve">communicate genetic test results after the post-test genetic counselling in both arms. During the post-test genetic counselling session, the digitized copy of the GUÍA report will be shared on the screen for one group, while the other group will simply be shown visual images, similar to those contained in the report, over a camera. We will evaluate </w:t>
      </w:r>
      <w:r w:rsidRPr="00485E38">
        <w:rPr>
          <w:rFonts w:ascii="Cambria" w:eastAsia="Times New Roman" w:hAnsi="Cambria" w:cs="Times New Roman"/>
          <w:color w:val="000000"/>
        </w:rPr>
        <w:t>understanding of these results by families and patients, and care providers at all levels of expertise, in two health systems through tele</w:t>
      </w:r>
      <w:r w:rsidR="00A53B4A" w:rsidRPr="00485E38">
        <w:rPr>
          <w:rFonts w:ascii="Cambria" w:eastAsia="Times New Roman" w:hAnsi="Cambria" w:cs="Times New Roman"/>
          <w:color w:val="000000"/>
        </w:rPr>
        <w:t>health</w:t>
      </w:r>
      <w:r w:rsidRPr="00485E38">
        <w:rPr>
          <w:rFonts w:ascii="Cambria" w:eastAsia="Times New Roman" w:hAnsi="Cambria" w:cs="Times New Roman"/>
          <w:color w:val="000000"/>
        </w:rPr>
        <w:t xml:space="preserve"> in an urban setting. Overall, this work will inform the genomics and clinical communities about how to implement genomic medicine in a diverse population in a clinically useful, technologically savvy, culturally sensitive, and ethically sound manner.</w:t>
      </w:r>
    </w:p>
    <w:p w14:paraId="4E6BA199" w14:textId="77777777" w:rsidR="00A95DF0" w:rsidRPr="009D7DDD" w:rsidRDefault="00A95DF0" w:rsidP="00020C67">
      <w:pPr>
        <w:numPr>
          <w:ilvl w:val="0"/>
          <w:numId w:val="2"/>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Study Design</w:t>
      </w:r>
    </w:p>
    <w:p w14:paraId="1223459F" w14:textId="77777777" w:rsidR="00A95DF0" w:rsidRPr="00020C67" w:rsidRDefault="00A95DF0" w:rsidP="00020C67">
      <w:pPr>
        <w:spacing w:after="120" w:line="240" w:lineRule="auto"/>
        <w:ind w:left="100"/>
        <w:jc w:val="both"/>
        <w:rPr>
          <w:rFonts w:ascii="Cambria" w:eastAsia="Times New Roman" w:hAnsi="Cambria" w:cs="Times New Roman"/>
        </w:rPr>
      </w:pPr>
      <w:r w:rsidRPr="00381CE7">
        <w:rPr>
          <w:rFonts w:ascii="Cambria" w:eastAsia="Times New Roman" w:hAnsi="Cambria" w:cs="Times New Roman"/>
          <w:b/>
          <w:bCs/>
          <w:i/>
          <w:iCs/>
          <w:color w:val="000000"/>
        </w:rPr>
        <w:t>II.a. Study Objectives</w:t>
      </w:r>
    </w:p>
    <w:p w14:paraId="6E32B2D6" w14:textId="0889228A"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As described above, </w:t>
      </w:r>
      <w:r w:rsidR="00B1673B" w:rsidRPr="00381CE7">
        <w:rPr>
          <w:rFonts w:ascii="Cambria" w:eastAsia="Times New Roman" w:hAnsi="Cambria" w:cs="Times New Roman"/>
          <w:color w:val="000000"/>
        </w:rPr>
        <w:t>Tele</w:t>
      </w:r>
      <w:r w:rsidRPr="00381CE7">
        <w:rPr>
          <w:rFonts w:ascii="Cambria" w:eastAsia="Times New Roman" w:hAnsi="Cambria" w:cs="Times New Roman"/>
          <w:color w:val="000000"/>
        </w:rPr>
        <w:t xml:space="preserve">KidSeq is multifaceted and has elements that involve human subject research and elements that do not. The </w:t>
      </w:r>
      <w:r w:rsidRPr="00381047">
        <w:rPr>
          <w:rFonts w:ascii="Cambria" w:eastAsia="Times New Roman" w:hAnsi="Cambria" w:cs="Times New Roman"/>
          <w:i/>
          <w:iCs/>
          <w:color w:val="000000"/>
        </w:rPr>
        <w:t xml:space="preserve">overall </w:t>
      </w:r>
      <w:r w:rsidRPr="00381047">
        <w:rPr>
          <w:rFonts w:ascii="Cambria" w:eastAsia="Times New Roman" w:hAnsi="Cambria" w:cs="Times New Roman"/>
          <w:color w:val="000000"/>
        </w:rPr>
        <w:t>Specific Aims of our project are shown below. for clarity. This proposal, however, is only focused on Specific Aims 1, 2 and 3 (</w:t>
      </w:r>
      <w:r w:rsidRPr="00381047">
        <w:rPr>
          <w:rFonts w:ascii="Cambria" w:eastAsia="Times New Roman" w:hAnsi="Cambria" w:cs="Times New Roman"/>
          <w:i/>
          <w:iCs/>
          <w:color w:val="000000"/>
        </w:rPr>
        <w:t xml:space="preserve">i.e., </w:t>
      </w:r>
      <w:r w:rsidRPr="00AD53BA">
        <w:rPr>
          <w:rFonts w:ascii="Cambria" w:eastAsia="Times New Roman" w:hAnsi="Cambria" w:cs="Times New Roman"/>
          <w:color w:val="000000"/>
        </w:rPr>
        <w:t>those that involve human subject research).</w:t>
      </w:r>
    </w:p>
    <w:p w14:paraId="2A039FEC"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i/>
          <w:iCs/>
          <w:color w:val="000000"/>
        </w:rPr>
        <w:t> </w:t>
      </w:r>
    </w:p>
    <w:p w14:paraId="681AF507" w14:textId="0FFEBFF5" w:rsidR="00A95DF0" w:rsidRPr="00020C67" w:rsidRDefault="00A95DF0" w:rsidP="00020C67">
      <w:pPr>
        <w:spacing w:after="0" w:line="240" w:lineRule="auto"/>
        <w:ind w:left="360"/>
        <w:jc w:val="both"/>
        <w:rPr>
          <w:rFonts w:ascii="Cambria" w:eastAsia="Times New Roman" w:hAnsi="Cambria" w:cs="Times New Roman"/>
        </w:rPr>
      </w:pPr>
      <w:r w:rsidRPr="009D7DDD">
        <w:rPr>
          <w:rFonts w:ascii="Cambria" w:eastAsia="Times New Roman" w:hAnsi="Cambria" w:cs="Times New Roman"/>
          <w:b/>
          <w:bCs/>
          <w:color w:val="000000"/>
        </w:rPr>
        <w:t xml:space="preserve">Aim 1. </w:t>
      </w:r>
      <w:r w:rsidRPr="00381CE7">
        <w:rPr>
          <w:rFonts w:ascii="Cambria" w:eastAsia="Times New Roman" w:hAnsi="Cambria" w:cs="Times New Roman"/>
          <w:color w:val="000000"/>
        </w:rPr>
        <w:t xml:space="preserve">Evaluate the clinical utility of whole genome sequencing (WGS) for diagnostic </w:t>
      </w:r>
      <w:r w:rsidR="00A53B4A" w:rsidRPr="00381CE7">
        <w:rPr>
          <w:rFonts w:ascii="Cambria" w:eastAsia="Times New Roman" w:hAnsi="Cambria" w:cs="Times New Roman"/>
          <w:color w:val="000000"/>
        </w:rPr>
        <w:t>purposes.</w:t>
      </w:r>
    </w:p>
    <w:p w14:paraId="6D36F4A4" w14:textId="77777777" w:rsidR="00A95DF0" w:rsidRPr="00020C67" w:rsidRDefault="00A95DF0" w:rsidP="00020C67">
      <w:pPr>
        <w:spacing w:before="120" w:after="120" w:line="240" w:lineRule="auto"/>
        <w:ind w:left="360"/>
        <w:jc w:val="both"/>
        <w:rPr>
          <w:rFonts w:ascii="Cambria" w:eastAsia="Times New Roman" w:hAnsi="Cambria" w:cs="Times New Roman"/>
        </w:rPr>
      </w:pPr>
      <w:r w:rsidRPr="009D7DDD">
        <w:rPr>
          <w:rFonts w:ascii="Cambria" w:eastAsia="Times New Roman" w:hAnsi="Cambria" w:cs="Times New Roman"/>
          <w:b/>
          <w:bCs/>
          <w:color w:val="000000"/>
        </w:rPr>
        <w:t xml:space="preserve">Aim 2. </w:t>
      </w:r>
      <w:r w:rsidRPr="00381CE7">
        <w:rPr>
          <w:rFonts w:ascii="Cambria" w:eastAsia="Times New Roman" w:hAnsi="Cambria" w:cs="Times New Roman"/>
          <w:color w:val="000000"/>
        </w:rPr>
        <w:t>Engage stakeholders at various levels of the genome sequencing process to facilitate healthcare implementation. </w:t>
      </w:r>
    </w:p>
    <w:p w14:paraId="70543561" w14:textId="4D58E38B" w:rsidR="00A95DF0" w:rsidRPr="00020C67" w:rsidRDefault="00A95DF0" w:rsidP="00020C67">
      <w:pPr>
        <w:spacing w:after="120" w:line="240" w:lineRule="auto"/>
        <w:ind w:left="360"/>
        <w:jc w:val="both"/>
        <w:rPr>
          <w:rFonts w:ascii="Cambria" w:eastAsia="Times New Roman" w:hAnsi="Cambria" w:cs="Times New Roman"/>
        </w:rPr>
      </w:pPr>
      <w:r w:rsidRPr="009D7DDD">
        <w:rPr>
          <w:rFonts w:ascii="Cambria" w:eastAsia="Times New Roman" w:hAnsi="Cambria" w:cs="Times New Roman"/>
          <w:b/>
          <w:bCs/>
          <w:color w:val="000000"/>
        </w:rPr>
        <w:t xml:space="preserve">Aim 3. </w:t>
      </w:r>
      <w:r w:rsidRPr="00381CE7">
        <w:rPr>
          <w:rFonts w:ascii="Cambria" w:eastAsia="Times New Roman" w:hAnsi="Cambria" w:cs="Times New Roman"/>
          <w:color w:val="000000"/>
        </w:rPr>
        <w:t>Evaluate the use of live videoconferencing telehealth platforms with and without screen</w:t>
      </w:r>
      <w:r w:rsidR="002E4BA2" w:rsidRPr="00381CE7">
        <w:rPr>
          <w:rFonts w:ascii="Cambria" w:eastAsia="Times New Roman" w:hAnsi="Cambria" w:cs="Times New Roman"/>
          <w:color w:val="000000"/>
        </w:rPr>
        <w:t>-</w:t>
      </w:r>
      <w:r w:rsidRPr="00381047">
        <w:rPr>
          <w:rFonts w:ascii="Cambria" w:eastAsia="Times New Roman" w:hAnsi="Cambria" w:cs="Times New Roman"/>
          <w:color w:val="000000"/>
        </w:rPr>
        <w:t>sharing capabilities to facilitate the delivery of complex genomic results, and assess evaluating parental understanding, satisfaction, and feelings about the results, and their subsequent behavior.</w:t>
      </w:r>
    </w:p>
    <w:p w14:paraId="6990C98A" w14:textId="053D65BA" w:rsidR="00A95DF0" w:rsidRPr="00020C67" w:rsidRDefault="00A95DF0" w:rsidP="00020C67">
      <w:pPr>
        <w:spacing w:after="0" w:line="240" w:lineRule="auto"/>
        <w:ind w:left="360"/>
        <w:jc w:val="both"/>
        <w:rPr>
          <w:rFonts w:ascii="Cambria" w:eastAsia="Times New Roman" w:hAnsi="Cambria" w:cs="Times New Roman"/>
        </w:rPr>
      </w:pPr>
      <w:r w:rsidRPr="009D7DDD">
        <w:rPr>
          <w:rFonts w:ascii="Cambria" w:eastAsia="Times New Roman" w:hAnsi="Cambria" w:cs="Times New Roman"/>
          <w:b/>
          <w:bCs/>
          <w:color w:val="000000"/>
        </w:rPr>
        <w:lastRenderedPageBreak/>
        <w:t xml:space="preserve">Aim 4. </w:t>
      </w:r>
      <w:r w:rsidR="00C4528C" w:rsidRPr="00381CE7">
        <w:rPr>
          <w:rFonts w:ascii="Cambria" w:eastAsia="Times New Roman" w:hAnsi="Cambria" w:cs="Times New Roman"/>
          <w:bCs/>
          <w:color w:val="000000"/>
        </w:rPr>
        <w:t>Identify and</w:t>
      </w:r>
      <w:r w:rsidR="00C4528C" w:rsidRPr="00381CE7">
        <w:rPr>
          <w:rFonts w:ascii="Cambria" w:eastAsia="Times New Roman" w:hAnsi="Cambria" w:cs="Times New Roman"/>
          <w:b/>
          <w:bCs/>
          <w:color w:val="000000"/>
        </w:rPr>
        <w:t xml:space="preserve"> </w:t>
      </w:r>
      <w:r w:rsidRPr="00381CE7">
        <w:rPr>
          <w:rFonts w:ascii="Cambria" w:eastAsia="Times New Roman" w:hAnsi="Cambria" w:cs="Times New Roman"/>
          <w:color w:val="000000"/>
        </w:rPr>
        <w:t>Overcome barriers to implementation using novel Electronic Health Record-based resources and assessing their translation across medical centers.</w:t>
      </w:r>
    </w:p>
    <w:p w14:paraId="7290A459" w14:textId="77777777" w:rsidR="00A95DF0" w:rsidRPr="00020C67" w:rsidRDefault="00A95DF0" w:rsidP="00020C67">
      <w:pPr>
        <w:spacing w:after="0" w:line="240" w:lineRule="auto"/>
        <w:jc w:val="both"/>
        <w:rPr>
          <w:rFonts w:ascii="Cambria" w:eastAsia="Times New Roman" w:hAnsi="Cambria" w:cs="Times New Roman"/>
        </w:rPr>
      </w:pPr>
    </w:p>
    <w:p w14:paraId="31FDD5C8"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II.b. Duration of Participation</w:t>
      </w:r>
    </w:p>
    <w:p w14:paraId="71FF1F69" w14:textId="5C306500" w:rsidR="00A95DF0" w:rsidRPr="00485E38" w:rsidRDefault="00A95DF0" w:rsidP="00020C67">
      <w:pPr>
        <w:spacing w:after="0" w:line="240" w:lineRule="auto"/>
        <w:jc w:val="both"/>
        <w:rPr>
          <w:rFonts w:ascii="Cambria" w:eastAsia="Times New Roman" w:hAnsi="Cambria" w:cs="Times New Roman"/>
          <w:color w:val="000000"/>
        </w:rPr>
      </w:pPr>
      <w:r w:rsidRPr="009D7DDD">
        <w:rPr>
          <w:rFonts w:ascii="Cambria" w:eastAsia="Times New Roman" w:hAnsi="Cambria" w:cs="Times New Roman"/>
          <w:color w:val="000000"/>
        </w:rPr>
        <w:t xml:space="preserve">Recruitment will begin in </w:t>
      </w:r>
      <w:r w:rsidR="00B04610" w:rsidRPr="00381CE7">
        <w:rPr>
          <w:rFonts w:ascii="Cambria" w:eastAsia="Times New Roman" w:hAnsi="Cambria" w:cs="Times New Roman"/>
          <w:color w:val="000000"/>
        </w:rPr>
        <w:t xml:space="preserve">approximately </w:t>
      </w:r>
      <w:r w:rsidRPr="00381CE7">
        <w:rPr>
          <w:rFonts w:ascii="Cambria" w:eastAsia="Times New Roman" w:hAnsi="Cambria" w:cs="Times New Roman"/>
          <w:color w:val="000000"/>
        </w:rPr>
        <w:t>September 2020. Participants will have three study visits (Baseline, Return of results (ROR1), and ROR2) over a nine-month period. The length of a subj</w:t>
      </w:r>
      <w:r w:rsidRPr="00381047">
        <w:rPr>
          <w:rFonts w:ascii="Cambria" w:eastAsia="Times New Roman" w:hAnsi="Cambria" w:cs="Times New Roman"/>
          <w:color w:val="000000"/>
        </w:rPr>
        <w:t xml:space="preserve">ect’s participation will </w:t>
      </w:r>
      <w:r w:rsidR="00182875" w:rsidRPr="00381047">
        <w:rPr>
          <w:rFonts w:ascii="Cambria" w:eastAsia="Times New Roman" w:hAnsi="Cambria" w:cs="Times New Roman"/>
          <w:color w:val="000000"/>
        </w:rPr>
        <w:t>be approximately 9</w:t>
      </w:r>
      <w:r w:rsidRPr="00AD53BA">
        <w:rPr>
          <w:rFonts w:ascii="Cambria" w:eastAsia="Times New Roman" w:hAnsi="Cambria" w:cs="Times New Roman"/>
          <w:color w:val="000000"/>
        </w:rPr>
        <w:t xml:space="preserve"> months</w:t>
      </w:r>
      <w:r w:rsidR="00182875" w:rsidRPr="00220863">
        <w:rPr>
          <w:rFonts w:ascii="Cambria" w:eastAsia="Times New Roman" w:hAnsi="Cambria" w:cs="Times New Roman"/>
          <w:color w:val="000000"/>
        </w:rPr>
        <w:t>.</w:t>
      </w:r>
      <w:r w:rsidRPr="00220863">
        <w:rPr>
          <w:rFonts w:ascii="Cambria" w:eastAsia="Times New Roman" w:hAnsi="Cambria" w:cs="Times New Roman"/>
          <w:color w:val="000000"/>
        </w:rPr>
        <w:t xml:space="preserve"> </w:t>
      </w:r>
      <w:r w:rsidR="00345C57" w:rsidRPr="00485E38">
        <w:rPr>
          <w:rFonts w:ascii="Cambria" w:eastAsia="Times New Roman" w:hAnsi="Cambria" w:cs="Times New Roman"/>
          <w:color w:val="000000"/>
        </w:rPr>
        <w:t>The study has been approved to recruit through May 31, 2021 by the funder (see “Projected Enrollment Schedule” below).</w:t>
      </w:r>
    </w:p>
    <w:p w14:paraId="43CA5A3B" w14:textId="44F45FAD" w:rsidR="00345C57" w:rsidRPr="00485E38" w:rsidRDefault="00345C57" w:rsidP="00020C67">
      <w:pPr>
        <w:spacing w:after="0" w:line="240" w:lineRule="auto"/>
        <w:jc w:val="both"/>
        <w:rPr>
          <w:rFonts w:ascii="Cambria" w:eastAsia="Times New Roman" w:hAnsi="Cambria" w:cs="Times New Roman"/>
          <w:color w:val="000000"/>
        </w:rPr>
      </w:pPr>
    </w:p>
    <w:p w14:paraId="457C9860" w14:textId="7B87694B" w:rsidR="008E44A9" w:rsidRPr="00485E38" w:rsidRDefault="00345C57" w:rsidP="00020C67">
      <w:pPr>
        <w:spacing w:after="0" w:line="240" w:lineRule="auto"/>
        <w:jc w:val="both"/>
        <w:rPr>
          <w:rFonts w:ascii="Cambria" w:eastAsia="Times New Roman" w:hAnsi="Cambria" w:cs="Times New Roman"/>
          <w:b/>
          <w:color w:val="000000"/>
        </w:rPr>
      </w:pPr>
      <w:r w:rsidRPr="00485E38">
        <w:rPr>
          <w:rFonts w:ascii="Cambria" w:eastAsia="Times New Roman" w:hAnsi="Cambria" w:cs="Times New Roman"/>
          <w:b/>
          <w:color w:val="000000"/>
        </w:rPr>
        <w:t>Projected Enrollment Schedule:</w:t>
      </w:r>
    </w:p>
    <w:p w14:paraId="14DF6646" w14:textId="77777777" w:rsidR="00345C57" w:rsidRPr="00485E38" w:rsidRDefault="00345C57" w:rsidP="00020C67">
      <w:pPr>
        <w:spacing w:after="0" w:line="240" w:lineRule="auto"/>
        <w:jc w:val="both"/>
        <w:rPr>
          <w:rFonts w:ascii="Cambria" w:eastAsia="Times New Roman" w:hAnsi="Cambria" w:cs="Times New Roman"/>
          <w:b/>
          <w:color w:val="000000"/>
        </w:rPr>
      </w:pPr>
    </w:p>
    <w:tbl>
      <w:tblPr>
        <w:tblStyle w:val="TableGrid"/>
        <w:tblW w:w="0" w:type="auto"/>
        <w:tblLook w:val="04A0" w:firstRow="1" w:lastRow="0" w:firstColumn="1" w:lastColumn="0" w:noHBand="0" w:noVBand="1"/>
      </w:tblPr>
      <w:tblGrid>
        <w:gridCol w:w="1282"/>
        <w:gridCol w:w="895"/>
        <w:gridCol w:w="913"/>
        <w:gridCol w:w="906"/>
        <w:gridCol w:w="889"/>
        <w:gridCol w:w="899"/>
        <w:gridCol w:w="910"/>
        <w:gridCol w:w="903"/>
        <w:gridCol w:w="951"/>
        <w:gridCol w:w="802"/>
      </w:tblGrid>
      <w:tr w:rsidR="00B15B13" w:rsidRPr="009D7DDD" w14:paraId="76B71177" w14:textId="1B8B1097" w:rsidTr="00B15B13">
        <w:tc>
          <w:tcPr>
            <w:tcW w:w="1207" w:type="dxa"/>
            <w:shd w:val="clear" w:color="auto" w:fill="D9D9D9" w:themeFill="background1" w:themeFillShade="D9"/>
          </w:tcPr>
          <w:p w14:paraId="400629A4" w14:textId="77777777" w:rsidR="00B15B13" w:rsidRPr="00020C67" w:rsidRDefault="00B15B13" w:rsidP="00020C67">
            <w:pPr>
              <w:jc w:val="both"/>
              <w:rPr>
                <w:rFonts w:ascii="Cambria" w:eastAsia="Times New Roman" w:hAnsi="Cambria" w:cs="Times New Roman"/>
              </w:rPr>
            </w:pPr>
          </w:p>
        </w:tc>
        <w:tc>
          <w:tcPr>
            <w:tcW w:w="905" w:type="dxa"/>
            <w:shd w:val="clear" w:color="auto" w:fill="D9D9D9" w:themeFill="background1" w:themeFillShade="D9"/>
          </w:tcPr>
          <w:p w14:paraId="47783E09" w14:textId="23F3B582"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Oct ‘20</w:t>
            </w:r>
          </w:p>
        </w:tc>
        <w:tc>
          <w:tcPr>
            <w:tcW w:w="921" w:type="dxa"/>
            <w:shd w:val="clear" w:color="auto" w:fill="D9D9D9" w:themeFill="background1" w:themeFillShade="D9"/>
          </w:tcPr>
          <w:p w14:paraId="6AF0C7B8" w14:textId="5AE57032"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Nov ‘20</w:t>
            </w:r>
          </w:p>
        </w:tc>
        <w:tc>
          <w:tcPr>
            <w:tcW w:w="915" w:type="dxa"/>
            <w:shd w:val="clear" w:color="auto" w:fill="D9D9D9" w:themeFill="background1" w:themeFillShade="D9"/>
          </w:tcPr>
          <w:p w14:paraId="322ABFA0" w14:textId="3CA4AF4E"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Dec ‘20</w:t>
            </w:r>
          </w:p>
        </w:tc>
        <w:tc>
          <w:tcPr>
            <w:tcW w:w="899" w:type="dxa"/>
            <w:shd w:val="clear" w:color="auto" w:fill="D9D9D9" w:themeFill="background1" w:themeFillShade="D9"/>
          </w:tcPr>
          <w:p w14:paraId="2D06389D" w14:textId="2A85FB33"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Jan ‘21</w:t>
            </w:r>
          </w:p>
        </w:tc>
        <w:tc>
          <w:tcPr>
            <w:tcW w:w="908" w:type="dxa"/>
            <w:shd w:val="clear" w:color="auto" w:fill="D9D9D9" w:themeFill="background1" w:themeFillShade="D9"/>
          </w:tcPr>
          <w:p w14:paraId="62B6B08E" w14:textId="1C2A0C0D"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Feb ‘21</w:t>
            </w:r>
          </w:p>
        </w:tc>
        <w:tc>
          <w:tcPr>
            <w:tcW w:w="918" w:type="dxa"/>
            <w:shd w:val="clear" w:color="auto" w:fill="D9D9D9" w:themeFill="background1" w:themeFillShade="D9"/>
          </w:tcPr>
          <w:p w14:paraId="15A02968" w14:textId="5F4145D8"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Mar ‘21</w:t>
            </w:r>
          </w:p>
        </w:tc>
        <w:tc>
          <w:tcPr>
            <w:tcW w:w="912" w:type="dxa"/>
            <w:shd w:val="clear" w:color="auto" w:fill="D9D9D9" w:themeFill="background1" w:themeFillShade="D9"/>
          </w:tcPr>
          <w:p w14:paraId="3C612AE3" w14:textId="3E1AA423"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Apr ‘21</w:t>
            </w:r>
          </w:p>
        </w:tc>
        <w:tc>
          <w:tcPr>
            <w:tcW w:w="960" w:type="dxa"/>
            <w:shd w:val="clear" w:color="auto" w:fill="D9D9D9" w:themeFill="background1" w:themeFillShade="D9"/>
          </w:tcPr>
          <w:p w14:paraId="79242D09" w14:textId="1016A260"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May ‘21</w:t>
            </w:r>
          </w:p>
        </w:tc>
        <w:tc>
          <w:tcPr>
            <w:tcW w:w="805" w:type="dxa"/>
            <w:shd w:val="clear" w:color="auto" w:fill="D9D9D9" w:themeFill="background1" w:themeFillShade="D9"/>
          </w:tcPr>
          <w:p w14:paraId="41083830" w14:textId="6AC483A3"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Total</w:t>
            </w:r>
          </w:p>
        </w:tc>
      </w:tr>
      <w:tr w:rsidR="00B15B13" w:rsidRPr="009D7DDD" w14:paraId="27321C00" w14:textId="73606047" w:rsidTr="00B15B13">
        <w:tc>
          <w:tcPr>
            <w:tcW w:w="1207" w:type="dxa"/>
            <w:shd w:val="clear" w:color="auto" w:fill="D9D9D9" w:themeFill="background1" w:themeFillShade="D9"/>
          </w:tcPr>
          <w:p w14:paraId="6825FB9D" w14:textId="64668E6C"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Monthly Target Enrollment</w:t>
            </w:r>
          </w:p>
        </w:tc>
        <w:tc>
          <w:tcPr>
            <w:tcW w:w="905" w:type="dxa"/>
            <w:shd w:val="clear" w:color="auto" w:fill="auto"/>
            <w:vAlign w:val="bottom"/>
          </w:tcPr>
          <w:p w14:paraId="143299C5" w14:textId="5B823A5F"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48</w:t>
            </w:r>
          </w:p>
        </w:tc>
        <w:tc>
          <w:tcPr>
            <w:tcW w:w="921" w:type="dxa"/>
            <w:shd w:val="clear" w:color="auto" w:fill="auto"/>
            <w:vAlign w:val="bottom"/>
          </w:tcPr>
          <w:p w14:paraId="7441C4F9" w14:textId="2E0639F6"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56</w:t>
            </w:r>
          </w:p>
        </w:tc>
        <w:tc>
          <w:tcPr>
            <w:tcW w:w="915" w:type="dxa"/>
            <w:shd w:val="clear" w:color="auto" w:fill="auto"/>
            <w:vAlign w:val="bottom"/>
          </w:tcPr>
          <w:p w14:paraId="1A2E7D52" w14:textId="3FEA57FA"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32</w:t>
            </w:r>
          </w:p>
        </w:tc>
        <w:tc>
          <w:tcPr>
            <w:tcW w:w="899" w:type="dxa"/>
            <w:shd w:val="clear" w:color="auto" w:fill="auto"/>
            <w:vAlign w:val="bottom"/>
          </w:tcPr>
          <w:p w14:paraId="048A65D2" w14:textId="1C3DE1D9"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72</w:t>
            </w:r>
          </w:p>
        </w:tc>
        <w:tc>
          <w:tcPr>
            <w:tcW w:w="908" w:type="dxa"/>
            <w:shd w:val="clear" w:color="auto" w:fill="auto"/>
            <w:vAlign w:val="bottom"/>
          </w:tcPr>
          <w:p w14:paraId="4C70D127" w14:textId="0D0DF503"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72</w:t>
            </w:r>
          </w:p>
        </w:tc>
        <w:tc>
          <w:tcPr>
            <w:tcW w:w="918" w:type="dxa"/>
            <w:shd w:val="clear" w:color="auto" w:fill="auto"/>
            <w:vAlign w:val="bottom"/>
          </w:tcPr>
          <w:p w14:paraId="1F1490EC" w14:textId="6B7D29E3"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72</w:t>
            </w:r>
          </w:p>
        </w:tc>
        <w:tc>
          <w:tcPr>
            <w:tcW w:w="912" w:type="dxa"/>
            <w:shd w:val="clear" w:color="auto" w:fill="auto"/>
            <w:vAlign w:val="bottom"/>
          </w:tcPr>
          <w:p w14:paraId="730879B5" w14:textId="3BBCD357"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72</w:t>
            </w:r>
          </w:p>
        </w:tc>
        <w:tc>
          <w:tcPr>
            <w:tcW w:w="960" w:type="dxa"/>
            <w:vAlign w:val="bottom"/>
          </w:tcPr>
          <w:p w14:paraId="73687D84" w14:textId="56047D68"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72</w:t>
            </w:r>
          </w:p>
        </w:tc>
        <w:tc>
          <w:tcPr>
            <w:tcW w:w="805" w:type="dxa"/>
            <w:vAlign w:val="bottom"/>
          </w:tcPr>
          <w:p w14:paraId="535A71A3" w14:textId="0C6D66A0" w:rsidR="00B15B13" w:rsidRPr="00020C67" w:rsidRDefault="00B15B13" w:rsidP="00020C67">
            <w:pPr>
              <w:jc w:val="both"/>
              <w:rPr>
                <w:rFonts w:ascii="Cambria" w:eastAsia="Times New Roman" w:hAnsi="Cambria" w:cs="Times New Roman"/>
                <w:b/>
              </w:rPr>
            </w:pPr>
            <w:r w:rsidRPr="00020C67">
              <w:rPr>
                <w:rFonts w:ascii="Cambria" w:eastAsia="Times New Roman" w:hAnsi="Cambria" w:cs="Times New Roman"/>
                <w:b/>
              </w:rPr>
              <w:t>496</w:t>
            </w:r>
          </w:p>
        </w:tc>
      </w:tr>
      <w:tr w:rsidR="00B15B13" w:rsidRPr="009D7DDD" w14:paraId="3309AF97" w14:textId="4FC65F25" w:rsidTr="00B15B13">
        <w:tc>
          <w:tcPr>
            <w:tcW w:w="1207" w:type="dxa"/>
            <w:shd w:val="clear" w:color="auto" w:fill="D9D9D9" w:themeFill="background1" w:themeFillShade="D9"/>
          </w:tcPr>
          <w:p w14:paraId="48690098" w14:textId="389ADD33" w:rsidR="00B15B13" w:rsidRPr="00020C67" w:rsidRDefault="00B15B13" w:rsidP="00020C67">
            <w:pPr>
              <w:jc w:val="both"/>
              <w:rPr>
                <w:rFonts w:ascii="Cambria" w:eastAsia="Times New Roman" w:hAnsi="Cambria" w:cs="Times New Roman"/>
              </w:rPr>
            </w:pPr>
            <w:r w:rsidRPr="00020C67">
              <w:rPr>
                <w:rFonts w:ascii="Cambria" w:eastAsia="Times New Roman" w:hAnsi="Cambria" w:cs="Times New Roman"/>
              </w:rPr>
              <w:t>Per Site</w:t>
            </w:r>
          </w:p>
        </w:tc>
        <w:tc>
          <w:tcPr>
            <w:tcW w:w="905" w:type="dxa"/>
            <w:shd w:val="clear" w:color="auto" w:fill="auto"/>
            <w:vAlign w:val="bottom"/>
          </w:tcPr>
          <w:p w14:paraId="7F48A3D4" w14:textId="054BDF98"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24</w:t>
            </w:r>
          </w:p>
        </w:tc>
        <w:tc>
          <w:tcPr>
            <w:tcW w:w="921" w:type="dxa"/>
            <w:shd w:val="clear" w:color="auto" w:fill="auto"/>
            <w:vAlign w:val="bottom"/>
          </w:tcPr>
          <w:p w14:paraId="20C1E957" w14:textId="4ACD7168"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28</w:t>
            </w:r>
          </w:p>
        </w:tc>
        <w:tc>
          <w:tcPr>
            <w:tcW w:w="915" w:type="dxa"/>
            <w:shd w:val="clear" w:color="auto" w:fill="auto"/>
            <w:vAlign w:val="bottom"/>
          </w:tcPr>
          <w:p w14:paraId="4A2162AE" w14:textId="46847C8C"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16</w:t>
            </w:r>
          </w:p>
        </w:tc>
        <w:tc>
          <w:tcPr>
            <w:tcW w:w="899" w:type="dxa"/>
            <w:shd w:val="clear" w:color="auto" w:fill="auto"/>
            <w:vAlign w:val="bottom"/>
          </w:tcPr>
          <w:p w14:paraId="7DD39043" w14:textId="63AAD190"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36</w:t>
            </w:r>
          </w:p>
        </w:tc>
        <w:tc>
          <w:tcPr>
            <w:tcW w:w="908" w:type="dxa"/>
            <w:shd w:val="clear" w:color="auto" w:fill="auto"/>
            <w:vAlign w:val="bottom"/>
          </w:tcPr>
          <w:p w14:paraId="38525F7D" w14:textId="2B365ED3"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36</w:t>
            </w:r>
          </w:p>
        </w:tc>
        <w:tc>
          <w:tcPr>
            <w:tcW w:w="918" w:type="dxa"/>
            <w:shd w:val="clear" w:color="auto" w:fill="auto"/>
            <w:vAlign w:val="bottom"/>
          </w:tcPr>
          <w:p w14:paraId="4B260FB5" w14:textId="5FE09280"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36</w:t>
            </w:r>
          </w:p>
        </w:tc>
        <w:tc>
          <w:tcPr>
            <w:tcW w:w="912" w:type="dxa"/>
            <w:shd w:val="clear" w:color="auto" w:fill="auto"/>
            <w:vAlign w:val="bottom"/>
          </w:tcPr>
          <w:p w14:paraId="0E356FAB" w14:textId="45612E23"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36</w:t>
            </w:r>
          </w:p>
        </w:tc>
        <w:tc>
          <w:tcPr>
            <w:tcW w:w="960" w:type="dxa"/>
            <w:vAlign w:val="bottom"/>
          </w:tcPr>
          <w:p w14:paraId="55AE77EB" w14:textId="3C33D54C" w:rsidR="00B15B13" w:rsidRPr="00020C67" w:rsidRDefault="00B15B13" w:rsidP="00020C67">
            <w:pPr>
              <w:jc w:val="both"/>
              <w:rPr>
                <w:rFonts w:ascii="Cambria" w:eastAsia="Times New Roman" w:hAnsi="Cambria" w:cs="Times New Roman"/>
              </w:rPr>
            </w:pPr>
            <w:r w:rsidRPr="00020C67">
              <w:rPr>
                <w:rFonts w:ascii="Cambria" w:hAnsi="Cambria" w:cs="Times New Roman"/>
                <w:color w:val="000000"/>
              </w:rPr>
              <w:t>36</w:t>
            </w:r>
          </w:p>
        </w:tc>
        <w:tc>
          <w:tcPr>
            <w:tcW w:w="805" w:type="dxa"/>
            <w:vAlign w:val="bottom"/>
          </w:tcPr>
          <w:p w14:paraId="083CDB9F" w14:textId="63805E20" w:rsidR="00B15B13" w:rsidRPr="00020C67" w:rsidRDefault="00B15B13" w:rsidP="00020C67">
            <w:pPr>
              <w:jc w:val="both"/>
              <w:rPr>
                <w:rFonts w:ascii="Cambria" w:eastAsia="Times New Roman" w:hAnsi="Cambria" w:cs="Times New Roman"/>
                <w:b/>
              </w:rPr>
            </w:pPr>
            <w:r w:rsidRPr="00020C67">
              <w:rPr>
                <w:rFonts w:ascii="Cambria" w:eastAsia="Times New Roman" w:hAnsi="Cambria" w:cs="Times New Roman"/>
                <w:b/>
              </w:rPr>
              <w:t>248</w:t>
            </w:r>
          </w:p>
        </w:tc>
      </w:tr>
    </w:tbl>
    <w:p w14:paraId="4887EC59" w14:textId="77777777" w:rsidR="001664BC" w:rsidRPr="00020C67" w:rsidRDefault="001664BC" w:rsidP="00020C67">
      <w:pPr>
        <w:spacing w:after="0" w:line="240" w:lineRule="auto"/>
        <w:jc w:val="both"/>
        <w:rPr>
          <w:rFonts w:ascii="Cambria" w:eastAsia="Times New Roman" w:hAnsi="Cambria" w:cs="Times New Roman"/>
        </w:rPr>
      </w:pPr>
    </w:p>
    <w:p w14:paraId="3542E40B"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II.c. Study Population </w:t>
      </w:r>
    </w:p>
    <w:p w14:paraId="62333E7B"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We have chosen to study children and young adults with several disorders across clinical settings in order to ensure tha</w:t>
      </w:r>
      <w:r w:rsidRPr="00381CE7">
        <w:rPr>
          <w:rFonts w:ascii="Cambria" w:eastAsia="Times New Roman" w:hAnsi="Cambria" w:cs="Times New Roman"/>
          <w:color w:val="000000"/>
        </w:rPr>
        <w:t>t we would maximize our reach into the ethnocultural and ancestral diversity in our population. In addition, these disorders tend to be challenging and expensive to diagnose, allowing us to readily define the clinical utility and economic impact of WGS.</w:t>
      </w:r>
    </w:p>
    <w:p w14:paraId="62F0CF45"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w:t>
      </w:r>
    </w:p>
    <w:p w14:paraId="4B4C7B0F"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Our targeted diseases are as follows:</w:t>
      </w:r>
    </w:p>
    <w:p w14:paraId="5019C4FE" w14:textId="763FC2BB" w:rsidR="00A95DF0" w:rsidRPr="00020C67" w:rsidRDefault="00A95DF0" w:rsidP="00020C67">
      <w:pPr>
        <w:spacing w:before="120" w:after="0" w:line="240" w:lineRule="auto"/>
        <w:jc w:val="both"/>
        <w:rPr>
          <w:rFonts w:ascii="Cambria" w:eastAsia="Times New Roman" w:hAnsi="Cambria" w:cs="Times New Roman"/>
        </w:rPr>
      </w:pPr>
      <w:r w:rsidRPr="009D7DDD">
        <w:rPr>
          <w:rFonts w:ascii="Cambria" w:eastAsia="Times New Roman" w:hAnsi="Cambria" w:cs="Times New Roman"/>
          <w:color w:val="000000"/>
        </w:rPr>
        <w:t>Neurologic disorders: The genetic basis of idiopathic seizure disorders is well described, and the number of causative genes continues to expand.</w:t>
      </w:r>
      <w:r w:rsidR="00C40883" w:rsidRPr="00381CE7">
        <w:rPr>
          <w:rFonts w:ascii="Cambria" w:eastAsia="Times New Roman" w:hAnsi="Cambria" w:cs="Times New Roman"/>
          <w:color w:val="000000"/>
        </w:rPr>
        <w:t xml:space="preserve"> </w:t>
      </w:r>
      <w:r w:rsidRPr="00381CE7">
        <w:rPr>
          <w:rFonts w:ascii="Cambria" w:eastAsia="Times New Roman" w:hAnsi="Cambria" w:cs="Times New Roman"/>
          <w:color w:val="000000"/>
        </w:rPr>
        <w:t xml:space="preserve">We will focus on children with prolonged, clustered, or repetitive seizures so as not to duplicate the extensive work already being done in the Epilepsy Phenome Genome Project. Intellectual disability affects about 2-3% of the general population, and genetic causes may be present in 25-50%, although this number increases with </w:t>
      </w:r>
      <w:r w:rsidRPr="00381047">
        <w:rPr>
          <w:rFonts w:ascii="Cambria" w:eastAsia="Times New Roman" w:hAnsi="Cambria" w:cs="Times New Roman"/>
          <w:color w:val="000000"/>
        </w:rPr>
        <w:t xml:space="preserve">severity. To increase our diagnostic rate, we will focus our recruitment efforts on children who have idiopathic, non-syndromic, severe to profound intellectual disability with or without autistic spectrum disorder, syndromic intellectual disability, idiopathic intellectual disability with a strong family history of the same, and idiopathic intellectual disability with receptive language abnormalities. </w:t>
      </w:r>
    </w:p>
    <w:p w14:paraId="07A71640"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w:t>
      </w:r>
    </w:p>
    <w:p w14:paraId="300D3DCA" w14:textId="051302D1"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Immunologic disorders: Primary immune deficiency disorders arise due to genetic abnormalities of one or more genes important in human immunity.</w:t>
      </w:r>
      <w:r w:rsidRPr="00020C67">
        <w:rPr>
          <w:rFonts w:ascii="Cambria" w:eastAsia="Times New Roman" w:hAnsi="Cambria" w:cs="Times New Roman"/>
          <w:color w:val="000000"/>
          <w:vertAlign w:val="superscript"/>
        </w:rPr>
        <w:t>15</w:t>
      </w:r>
      <w:r w:rsidRPr="009D7DDD">
        <w:rPr>
          <w:rFonts w:ascii="Cambria" w:eastAsia="Times New Roman" w:hAnsi="Cambria" w:cs="Times New Roman"/>
          <w:color w:val="000000"/>
        </w:rPr>
        <w:t xml:space="preserve"> More than 200 different primary immune defici</w:t>
      </w:r>
      <w:r w:rsidRPr="00381CE7">
        <w:rPr>
          <w:rFonts w:ascii="Cambria" w:eastAsia="Times New Roman" w:hAnsi="Cambria" w:cs="Times New Roman"/>
          <w:color w:val="000000"/>
        </w:rPr>
        <w:t xml:space="preserve">ency disorders are known, with an estimated incidence between 1:500 to about 1:500,000. These subjects were younger, sicker, more often Hispanic or African American, and more likely to have Medicaid. There are currently 290 known causative genes, although that number is increasing rapidly. </w:t>
      </w:r>
    </w:p>
    <w:p w14:paraId="07082C21"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w:t>
      </w:r>
    </w:p>
    <w:p w14:paraId="5F9194E0" w14:textId="15CB054B"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Cardiac disorders: Congenital heart diseases constitute the commonest class of birth defects and, despite substantial progress in clinical care, remain the leading cause of newborn mortality among birth defect</w:t>
      </w:r>
      <w:r w:rsidR="00405419" w:rsidRPr="00381CE7">
        <w:rPr>
          <w:rFonts w:ascii="Cambria" w:eastAsia="Times New Roman" w:hAnsi="Cambria" w:cs="Times New Roman"/>
          <w:color w:val="000000"/>
        </w:rPr>
        <w:t>s.</w:t>
      </w:r>
      <w:r w:rsidRPr="00381CE7">
        <w:rPr>
          <w:rFonts w:ascii="Cambria" w:eastAsia="Times New Roman" w:hAnsi="Cambria" w:cs="Times New Roman"/>
          <w:color w:val="000000"/>
        </w:rPr>
        <w:t xml:space="preserve"> Mendelian   traits   and   aneuploidy   underlie approximately 10% of cases, and pathologic copy number variations (CNVs) and </w:t>
      </w:r>
      <w:r w:rsidRPr="00381047">
        <w:rPr>
          <w:rFonts w:ascii="Cambria" w:eastAsia="Times New Roman" w:hAnsi="Cambria" w:cs="Times New Roman"/>
          <w:i/>
          <w:iCs/>
          <w:color w:val="000000"/>
        </w:rPr>
        <w:t>de novo</w:t>
      </w:r>
      <w:r w:rsidRPr="00381047">
        <w:rPr>
          <w:rFonts w:ascii="Cambria" w:eastAsia="Times New Roman" w:hAnsi="Cambria" w:cs="Times New Roman"/>
          <w:color w:val="000000"/>
        </w:rPr>
        <w:t xml:space="preserve"> single nucleotide variations (SNVs)/indels each explain another 10% of case</w:t>
      </w:r>
      <w:r w:rsidR="00BA4615" w:rsidRPr="00381047">
        <w:rPr>
          <w:rFonts w:ascii="Cambria" w:eastAsia="Times New Roman" w:hAnsi="Cambria" w:cs="Times New Roman"/>
          <w:color w:val="000000"/>
        </w:rPr>
        <w:t xml:space="preserve">s. </w:t>
      </w:r>
      <w:r w:rsidRPr="00381047">
        <w:rPr>
          <w:rFonts w:ascii="Cambria" w:eastAsia="Times New Roman" w:hAnsi="Cambria" w:cs="Times New Roman"/>
          <w:color w:val="000000"/>
        </w:rPr>
        <w:t xml:space="preserve">We will focus on recruiting children with congenital heart disease plus extra-cardiac anomalies and/or intellectual disabilities as they are more likely to have likely </w:t>
      </w:r>
      <w:r w:rsidRPr="00381047">
        <w:rPr>
          <w:rFonts w:ascii="Cambria" w:eastAsia="Times New Roman" w:hAnsi="Cambria" w:cs="Times New Roman"/>
          <w:color w:val="000000"/>
        </w:rPr>
        <w:lastRenderedPageBreak/>
        <w:t xml:space="preserve">causal </w:t>
      </w:r>
      <w:r w:rsidRPr="00381047">
        <w:rPr>
          <w:rFonts w:ascii="Cambria" w:eastAsia="Times New Roman" w:hAnsi="Cambria" w:cs="Times New Roman"/>
          <w:i/>
          <w:iCs/>
          <w:color w:val="000000"/>
        </w:rPr>
        <w:t>de novo</w:t>
      </w:r>
      <w:r w:rsidRPr="00381047">
        <w:rPr>
          <w:rFonts w:ascii="Cambria" w:eastAsia="Times New Roman" w:hAnsi="Cambria" w:cs="Times New Roman"/>
          <w:color w:val="000000"/>
        </w:rPr>
        <w:t xml:space="preserve"> SNVs/indels or </w:t>
      </w:r>
      <w:r w:rsidR="00405419" w:rsidRPr="00AD53BA">
        <w:rPr>
          <w:rFonts w:ascii="Cambria" w:eastAsia="Times New Roman" w:hAnsi="Cambria" w:cs="Times New Roman"/>
          <w:color w:val="000000"/>
        </w:rPr>
        <w:t>CNVS.</w:t>
      </w:r>
      <w:r w:rsidRPr="00220863">
        <w:rPr>
          <w:rFonts w:ascii="Cambria" w:eastAsia="Times New Roman" w:hAnsi="Cambria" w:cs="Times New Roman"/>
          <w:color w:val="000000"/>
        </w:rPr>
        <w:t xml:space="preserve"> In addition, we will recruit those likely to have Mendelian disease (e.g., secundum atrial septal defects with some degree of atrio-ventricular block, affected first degree relatives). Genetic cardiac arrhythmias such as long QT syndrome are characterized by cardiac conduc</w:t>
      </w:r>
      <w:r w:rsidRPr="00485E38">
        <w:rPr>
          <w:rFonts w:ascii="Cambria" w:eastAsia="Times New Roman" w:hAnsi="Cambria" w:cs="Times New Roman"/>
          <w:color w:val="000000"/>
        </w:rPr>
        <w:t>tion abnormalities that can result in sudden cardiac death in otherwise healthy individuals. Long QT syndrome is characterized by delayed repolarization of the myocardium and QT prolongation, resulting in syncope and cardiac arrest. Familial hypertrophic cardiomyopathy is the most common genetic heart disease in the United States, whereas familial dilated cardiomyopathy affects approximately 375,000 Americans</w:t>
      </w:r>
    </w:p>
    <w:p w14:paraId="792AB8EE" w14:textId="77777777" w:rsidR="00A95DF0" w:rsidRPr="00020C67" w:rsidRDefault="00A95DF0" w:rsidP="00020C67">
      <w:pPr>
        <w:spacing w:after="0" w:line="240" w:lineRule="auto"/>
        <w:jc w:val="both"/>
        <w:rPr>
          <w:rFonts w:ascii="Cambria" w:eastAsia="Times New Roman" w:hAnsi="Cambria" w:cs="Times New Roman"/>
        </w:rPr>
      </w:pPr>
    </w:p>
    <w:p w14:paraId="77058BBA"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II.d. Primary, Secondary and Exploratory Outcomes</w:t>
      </w:r>
    </w:p>
    <w:p w14:paraId="70D8BF07"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color w:val="000000"/>
          <w:u w:val="single"/>
        </w:rPr>
        <w:t>Primary outcome</w:t>
      </w:r>
    </w:p>
    <w:p w14:paraId="46256422" w14:textId="0C1E4589"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bCs/>
          <w:color w:val="000000"/>
        </w:rPr>
        <w:t>1)</w:t>
      </w:r>
      <w:r w:rsidRPr="00020C67">
        <w:rPr>
          <w:rFonts w:ascii="Cambria" w:eastAsia="Times New Roman" w:hAnsi="Cambria" w:cs="Times New Roman"/>
          <w:b/>
          <w:bCs/>
          <w:color w:val="000000"/>
        </w:rPr>
        <w:t xml:space="preserve">    </w:t>
      </w:r>
      <w:r w:rsidRPr="009D7DDD">
        <w:rPr>
          <w:rFonts w:ascii="Cambria" w:eastAsia="Times New Roman" w:hAnsi="Cambria" w:cs="Times New Roman"/>
          <w:color w:val="000000"/>
        </w:rPr>
        <w:t>Percei</w:t>
      </w:r>
      <w:r w:rsidRPr="00381CE7">
        <w:rPr>
          <w:rFonts w:ascii="Cambria" w:eastAsia="Times New Roman" w:hAnsi="Cambria" w:cs="Times New Roman"/>
          <w:color w:val="000000"/>
        </w:rPr>
        <w:t>ved understanding of genomic testing results, with comparison of results from genetic counseling visits completed via video telehealth visit with screen</w:t>
      </w:r>
      <w:r w:rsidR="002E4BA2" w:rsidRPr="00381CE7">
        <w:rPr>
          <w:rFonts w:ascii="Cambria" w:eastAsia="Times New Roman" w:hAnsi="Cambria" w:cs="Times New Roman"/>
          <w:color w:val="000000"/>
        </w:rPr>
        <w:t>-</w:t>
      </w:r>
      <w:r w:rsidRPr="00381CE7">
        <w:rPr>
          <w:rFonts w:ascii="Cambria" w:eastAsia="Times New Roman" w:hAnsi="Cambria" w:cs="Times New Roman"/>
          <w:color w:val="000000"/>
        </w:rPr>
        <w:t>share capabilities versus no screen</w:t>
      </w:r>
      <w:r w:rsidR="002E4BA2" w:rsidRPr="00381CE7">
        <w:rPr>
          <w:rFonts w:ascii="Cambria" w:eastAsia="Times New Roman" w:hAnsi="Cambria" w:cs="Times New Roman"/>
          <w:color w:val="000000"/>
        </w:rPr>
        <w:t>-</w:t>
      </w:r>
      <w:r w:rsidRPr="00381CE7">
        <w:rPr>
          <w:rFonts w:ascii="Cambria" w:eastAsia="Times New Roman" w:hAnsi="Cambria" w:cs="Times New Roman"/>
          <w:color w:val="000000"/>
        </w:rPr>
        <w:t>share capabilities. (ROR1 and ROR2, Q3);</w:t>
      </w:r>
    </w:p>
    <w:p w14:paraId="3B15F87A" w14:textId="77777777" w:rsidR="00C71A1F" w:rsidRPr="009D7DDD" w:rsidRDefault="00C71A1F" w:rsidP="00020C67">
      <w:pPr>
        <w:spacing w:after="120" w:line="240" w:lineRule="auto"/>
        <w:jc w:val="both"/>
        <w:rPr>
          <w:rFonts w:ascii="Cambria" w:eastAsia="Times New Roman" w:hAnsi="Cambria" w:cs="Times New Roman"/>
          <w:b/>
          <w:bCs/>
          <w:color w:val="000000"/>
          <w:u w:val="single"/>
        </w:rPr>
      </w:pPr>
    </w:p>
    <w:p w14:paraId="237F381B" w14:textId="56C0BCC0" w:rsidR="00A95DF0" w:rsidRPr="00020C67" w:rsidRDefault="00A95DF0" w:rsidP="00020C67">
      <w:pPr>
        <w:spacing w:after="120" w:line="240" w:lineRule="auto"/>
        <w:jc w:val="both"/>
        <w:rPr>
          <w:rFonts w:ascii="Cambria" w:eastAsia="Times New Roman" w:hAnsi="Cambria" w:cs="Times New Roman"/>
        </w:rPr>
      </w:pPr>
      <w:r w:rsidRPr="00381CE7">
        <w:rPr>
          <w:rFonts w:ascii="Cambria" w:eastAsia="Times New Roman" w:hAnsi="Cambria" w:cs="Times New Roman"/>
          <w:b/>
          <w:bCs/>
          <w:color w:val="000000"/>
          <w:u w:val="single"/>
        </w:rPr>
        <w:t>Secondary outcomes</w:t>
      </w:r>
    </w:p>
    <w:p w14:paraId="62982FC9" w14:textId="77777777" w:rsidR="00A95DF0" w:rsidRPr="00020C67" w:rsidRDefault="00A95DF0" w:rsidP="00020C67">
      <w:pPr>
        <w:spacing w:before="120" w:after="0" w:line="240" w:lineRule="auto"/>
        <w:jc w:val="both"/>
        <w:rPr>
          <w:rFonts w:ascii="Cambria" w:eastAsia="Times New Roman" w:hAnsi="Cambria" w:cs="Times New Roman"/>
        </w:rPr>
      </w:pPr>
      <w:r w:rsidRPr="009D7DDD">
        <w:rPr>
          <w:rFonts w:ascii="Cambria" w:eastAsia="Times New Roman" w:hAnsi="Cambria" w:cs="Times New Roman"/>
          <w:b/>
          <w:bCs/>
          <w:color w:val="000000"/>
        </w:rPr>
        <w:t>      </w:t>
      </w:r>
      <w:r w:rsidRPr="00381CE7">
        <w:rPr>
          <w:rFonts w:ascii="Cambria" w:eastAsia="Times New Roman" w:hAnsi="Cambria" w:cs="Times New Roman"/>
          <w:b/>
          <w:bCs/>
          <w:color w:val="000000"/>
        </w:rPr>
        <w:t>            Understanding genomic results</w:t>
      </w:r>
    </w:p>
    <w:p w14:paraId="036E12E8" w14:textId="7E61E2C8" w:rsidR="00A95DF0" w:rsidRPr="00020C67" w:rsidRDefault="00A95DF0" w:rsidP="00020C67">
      <w:pPr>
        <w:spacing w:before="12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Objective understanding of genomic testing results, with comparison of results in Screen</w:t>
      </w:r>
      <w:r w:rsidR="002E4BA2" w:rsidRPr="00381CE7">
        <w:rPr>
          <w:rFonts w:ascii="Cambria" w:eastAsia="Times New Roman" w:hAnsi="Cambria" w:cs="Times New Roman"/>
          <w:color w:val="000000"/>
        </w:rPr>
        <w:t>-</w:t>
      </w:r>
      <w:r w:rsidRPr="00381CE7">
        <w:rPr>
          <w:rFonts w:ascii="Cambria" w:eastAsia="Times New Roman" w:hAnsi="Cambria" w:cs="Times New Roman"/>
          <w:color w:val="000000"/>
        </w:rPr>
        <w:t>share group vs no screen</w:t>
      </w:r>
      <w:r w:rsidR="002E4BA2" w:rsidRPr="00381CE7">
        <w:rPr>
          <w:rFonts w:ascii="Cambria" w:eastAsia="Times New Roman" w:hAnsi="Cambria" w:cs="Times New Roman"/>
          <w:color w:val="000000"/>
        </w:rPr>
        <w:t>-</w:t>
      </w:r>
      <w:r w:rsidRPr="00381CE7">
        <w:rPr>
          <w:rFonts w:ascii="Cambria" w:eastAsia="Times New Roman" w:hAnsi="Cambria" w:cs="Times New Roman"/>
          <w:color w:val="000000"/>
        </w:rPr>
        <w:t>share group (as measured by surveys ROR1 Q1, 2, 13 and ROR2 Q1, 2, 13);</w:t>
      </w:r>
    </w:p>
    <w:p w14:paraId="30D7FC70" w14:textId="77777777"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2)</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Understanding of</w:t>
      </w:r>
      <w:r w:rsidRPr="00381CE7">
        <w:rPr>
          <w:rFonts w:ascii="Cambria" w:eastAsia="Times New Roman" w:hAnsi="Cambria" w:cs="Times New Roman"/>
          <w:color w:val="000000"/>
        </w:rPr>
        <w:t xml:space="preserve"> medical follow up and the actionability of genomic results (ROR1 Q4, 5, 6) and adherence to medical follow up recommendations (ROR2 Q4), and</w:t>
      </w:r>
    </w:p>
    <w:p w14:paraId="68FC2A54"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w:t>
      </w:r>
    </w:p>
    <w:p w14:paraId="2CF0C9F5"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                  </w:t>
      </w:r>
      <w:r w:rsidRPr="00381CE7">
        <w:rPr>
          <w:rFonts w:ascii="Cambria" w:eastAsia="Times New Roman" w:hAnsi="Cambria" w:cs="Times New Roman"/>
          <w:b/>
          <w:bCs/>
          <w:color w:val="000000"/>
        </w:rPr>
        <w:t>Role of telehealth platform</w:t>
      </w:r>
    </w:p>
    <w:p w14:paraId="2C8095FF" w14:textId="4A99DCF5"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3)</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Patients' satisfaction with and preference for telehealth vi</w:t>
      </w:r>
      <w:r w:rsidRPr="00381CE7">
        <w:rPr>
          <w:rFonts w:ascii="Cambria" w:eastAsia="Times New Roman" w:hAnsi="Cambria" w:cs="Times New Roman"/>
          <w:color w:val="000000"/>
        </w:rPr>
        <w:t>sits with screen</w:t>
      </w:r>
      <w:r w:rsidR="002E4BA2" w:rsidRPr="00381CE7">
        <w:rPr>
          <w:rFonts w:ascii="Cambria" w:eastAsia="Times New Roman" w:hAnsi="Cambria" w:cs="Times New Roman"/>
          <w:color w:val="000000"/>
        </w:rPr>
        <w:t>-</w:t>
      </w:r>
      <w:r w:rsidRPr="00381CE7">
        <w:rPr>
          <w:rFonts w:ascii="Cambria" w:eastAsia="Times New Roman" w:hAnsi="Cambria" w:cs="Times New Roman"/>
          <w:color w:val="000000"/>
        </w:rPr>
        <w:t>sharing capabilities or no screen</w:t>
      </w:r>
      <w:r w:rsidR="002E4BA2" w:rsidRPr="00381CE7">
        <w:rPr>
          <w:rFonts w:ascii="Cambria" w:eastAsia="Times New Roman" w:hAnsi="Cambria" w:cs="Times New Roman"/>
          <w:color w:val="000000"/>
        </w:rPr>
        <w:t>-</w:t>
      </w:r>
      <w:r w:rsidRPr="00381047">
        <w:rPr>
          <w:rFonts w:ascii="Cambria" w:eastAsia="Times New Roman" w:hAnsi="Cambria" w:cs="Times New Roman"/>
          <w:color w:val="000000"/>
        </w:rPr>
        <w:t>sharing capabilities versus in-person counseling and compare the two groups; </w:t>
      </w:r>
    </w:p>
    <w:p w14:paraId="3AA8F2D7" w14:textId="75B5B91D" w:rsidR="00C71A1F"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4)</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Ease of use of telehealth platform/preference for telehealth platform over in-person visits in control vs screen</w:t>
      </w:r>
      <w:r w:rsidR="002E4BA2" w:rsidRPr="00381CE7">
        <w:rPr>
          <w:rFonts w:ascii="Cambria" w:eastAsia="Times New Roman" w:hAnsi="Cambria" w:cs="Times New Roman"/>
          <w:color w:val="000000"/>
        </w:rPr>
        <w:t>-</w:t>
      </w:r>
      <w:r w:rsidRPr="00381CE7">
        <w:rPr>
          <w:rFonts w:ascii="Cambria" w:eastAsia="Times New Roman" w:hAnsi="Cambria" w:cs="Times New Roman"/>
          <w:color w:val="000000"/>
        </w:rPr>
        <w:t>share group (specific questions to include the role of images in counseling)</w:t>
      </w:r>
    </w:p>
    <w:p w14:paraId="1BDF27D9" w14:textId="77777777" w:rsidR="00187163" w:rsidRPr="00020C67" w:rsidRDefault="00187163" w:rsidP="00020C67">
      <w:pPr>
        <w:spacing w:before="200" w:after="0" w:line="240" w:lineRule="auto"/>
        <w:ind w:left="900"/>
        <w:jc w:val="both"/>
        <w:rPr>
          <w:rFonts w:ascii="Cambria" w:eastAsia="Times New Roman" w:hAnsi="Cambria" w:cs="Times New Roman"/>
        </w:rPr>
      </w:pPr>
    </w:p>
    <w:p w14:paraId="51618939" w14:textId="734D50AE" w:rsidR="00A95DF0" w:rsidRPr="00020C67" w:rsidRDefault="00C71A1F" w:rsidP="00020C67">
      <w:pPr>
        <w:spacing w:after="120" w:line="240" w:lineRule="auto"/>
        <w:ind w:firstLine="720"/>
        <w:jc w:val="both"/>
        <w:rPr>
          <w:rFonts w:ascii="Cambria" w:eastAsia="Times New Roman" w:hAnsi="Cambria" w:cs="Times New Roman"/>
        </w:rPr>
      </w:pPr>
      <w:r w:rsidRPr="009D7DDD">
        <w:rPr>
          <w:rFonts w:ascii="Cambria" w:eastAsia="Times New Roman" w:hAnsi="Cambria" w:cs="Times New Roman"/>
          <w:b/>
          <w:bCs/>
          <w:color w:val="000000" w:themeColor="text1"/>
        </w:rPr>
        <w:t xml:space="preserve">    </w:t>
      </w:r>
      <w:r w:rsidR="4CEF8538" w:rsidRPr="00381CE7">
        <w:rPr>
          <w:rFonts w:ascii="Cambria" w:eastAsia="Times New Roman" w:hAnsi="Cambria" w:cs="Times New Roman"/>
          <w:b/>
          <w:bCs/>
          <w:color w:val="000000" w:themeColor="text1"/>
        </w:rPr>
        <w:t xml:space="preserve">Diagnostic results of WGS </w:t>
      </w:r>
    </w:p>
    <w:p w14:paraId="25DA3AC8" w14:textId="608B8A6E" w:rsidR="00A95DF0" w:rsidRPr="00020C67" w:rsidRDefault="00A95DF0" w:rsidP="00020C67">
      <w:pPr>
        <w:spacing w:before="12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6)</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 xml:space="preserve">Overall diagnostic yield as the percentage of </w:t>
      </w:r>
      <w:r w:rsidR="00B1673B" w:rsidRPr="00381CE7">
        <w:rPr>
          <w:rFonts w:ascii="Cambria" w:eastAsia="Times New Roman" w:hAnsi="Cambria" w:cs="Times New Roman"/>
          <w:color w:val="000000"/>
        </w:rPr>
        <w:t>Tele</w:t>
      </w:r>
      <w:r w:rsidRPr="00381CE7">
        <w:rPr>
          <w:rFonts w:ascii="Cambria" w:eastAsia="Times New Roman" w:hAnsi="Cambria" w:cs="Times New Roman"/>
          <w:color w:val="000000"/>
        </w:rPr>
        <w:t>KidSeq participants with definitive or likely positive diagnoses;</w:t>
      </w:r>
    </w:p>
    <w:p w14:paraId="5A290D03" w14:textId="6E882573"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7)</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Diagnostic yield of WGS ov</w:t>
      </w:r>
      <w:r w:rsidRPr="00381CE7">
        <w:rPr>
          <w:rFonts w:ascii="Cambria" w:eastAsia="Times New Roman" w:hAnsi="Cambria" w:cs="Times New Roman"/>
          <w:color w:val="000000"/>
        </w:rPr>
        <w:t>erall and by disease category (neurology, cardiology, primary immunodeficiency), as the percentage of participants with definitive or likely positive diagnoses;</w:t>
      </w:r>
    </w:p>
    <w:p w14:paraId="73E517D5" w14:textId="77777777"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11)</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Diagnostic yield of WGS between different race/ethnic groups, as the percentage of parti</w:t>
      </w:r>
      <w:r w:rsidRPr="00381CE7">
        <w:rPr>
          <w:rFonts w:ascii="Cambria" w:eastAsia="Times New Roman" w:hAnsi="Cambria" w:cs="Times New Roman"/>
          <w:color w:val="000000"/>
        </w:rPr>
        <w:t>cipants with definitive or likely positive diagnoses;</w:t>
      </w:r>
    </w:p>
    <w:p w14:paraId="7055C6AF" w14:textId="77777777" w:rsidR="00A95DF0" w:rsidRPr="00020C67" w:rsidRDefault="00A95DF0" w:rsidP="00020C67">
      <w:pPr>
        <w:spacing w:after="0" w:line="240" w:lineRule="auto"/>
        <w:jc w:val="both"/>
        <w:rPr>
          <w:rFonts w:ascii="Cambria" w:eastAsia="Times New Roman" w:hAnsi="Cambria" w:cs="Times New Roman"/>
        </w:rPr>
      </w:pPr>
      <w:r w:rsidRPr="00020C67">
        <w:rPr>
          <w:rFonts w:ascii="Cambria" w:eastAsia="Times New Roman" w:hAnsi="Cambria" w:cs="Times New Roman"/>
          <w:color w:val="000000"/>
        </w:rPr>
        <w:t> </w:t>
      </w:r>
    </w:p>
    <w:p w14:paraId="25B40995"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color w:val="000000"/>
        </w:rPr>
        <w:t>                  CSER Harmonized Measures</w:t>
      </w:r>
    </w:p>
    <w:p w14:paraId="06E06316" w14:textId="22E2FFF6" w:rsidR="00A95DF0" w:rsidRPr="00020C67" w:rsidRDefault="00A95DF0" w:rsidP="00020C67">
      <w:pPr>
        <w:spacing w:before="12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lastRenderedPageBreak/>
        <w:t>13)</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Comparison of parental satisfaction with mode of delivery in control vs screen</w:t>
      </w:r>
      <w:r w:rsidR="00A21C68" w:rsidRPr="00381CE7">
        <w:rPr>
          <w:rFonts w:ascii="Cambria" w:eastAsia="Times New Roman" w:hAnsi="Cambria" w:cs="Times New Roman"/>
          <w:color w:val="000000"/>
        </w:rPr>
        <w:t>-</w:t>
      </w:r>
      <w:r w:rsidRPr="00381CE7">
        <w:rPr>
          <w:rFonts w:ascii="Cambria" w:eastAsia="Times New Roman" w:hAnsi="Cambria" w:cs="Times New Roman"/>
          <w:color w:val="000000"/>
        </w:rPr>
        <w:t>share group (“Satisfaction with mode of communication of results”) (ROR1, Q7);</w:t>
      </w:r>
    </w:p>
    <w:p w14:paraId="6946012E" w14:textId="08FEADDA"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14)</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Comparison of parental overall satisfaction with results in control vs screen</w:t>
      </w:r>
      <w:r w:rsidR="00A21C68" w:rsidRPr="00381CE7">
        <w:rPr>
          <w:rFonts w:ascii="Cambria" w:eastAsia="Times New Roman" w:hAnsi="Cambria" w:cs="Times New Roman"/>
          <w:color w:val="000000"/>
        </w:rPr>
        <w:t>-</w:t>
      </w:r>
      <w:r w:rsidRPr="00381CE7">
        <w:rPr>
          <w:rFonts w:ascii="Cambria" w:eastAsia="Times New Roman" w:hAnsi="Cambria" w:cs="Times New Roman"/>
          <w:color w:val="000000"/>
        </w:rPr>
        <w:t>share group (ROR1, Q8);</w:t>
      </w:r>
    </w:p>
    <w:p w14:paraId="3DA838C6" w14:textId="6381CB65"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15)</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Parental feelings about genomic testing results in control vs screen</w:t>
      </w:r>
      <w:r w:rsidR="00A21C68" w:rsidRPr="00381CE7">
        <w:rPr>
          <w:rFonts w:ascii="Cambria" w:eastAsia="Times New Roman" w:hAnsi="Cambria" w:cs="Times New Roman"/>
          <w:color w:val="000000"/>
        </w:rPr>
        <w:t>-</w:t>
      </w:r>
      <w:r w:rsidR="0044419D" w:rsidRPr="00381CE7">
        <w:rPr>
          <w:rFonts w:ascii="Cambria" w:eastAsia="Times New Roman" w:hAnsi="Cambria" w:cs="Times New Roman"/>
          <w:color w:val="000000"/>
        </w:rPr>
        <w:t>share group</w:t>
      </w:r>
      <w:r w:rsidRPr="00381CE7">
        <w:rPr>
          <w:rFonts w:ascii="Cambria" w:eastAsia="Times New Roman" w:hAnsi="Cambria" w:cs="Times New Roman"/>
          <w:color w:val="000000"/>
        </w:rPr>
        <w:t xml:space="preserve"> (FACToR) (ROR1 and ROR2, Q9);</w:t>
      </w:r>
    </w:p>
    <w:p w14:paraId="29A198F1" w14:textId="0564C068"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w:t>
      </w:r>
      <w:r w:rsidR="00B67869" w:rsidRPr="00381CE7">
        <w:rPr>
          <w:rFonts w:ascii="Cambria" w:eastAsia="Times New Roman" w:hAnsi="Cambria" w:cs="Times New Roman"/>
          <w:color w:val="000000"/>
        </w:rPr>
        <w:t>6</w:t>
      </w:r>
      <w:r w:rsidRPr="00381CE7">
        <w:rPr>
          <w:rFonts w:ascii="Cambria" w:eastAsia="Times New Roman" w:hAnsi="Cambria" w:cs="Times New Roman"/>
          <w:color w:val="000000"/>
        </w:rPr>
        <w:t>)</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Parental personal ut</w:t>
      </w:r>
      <w:r w:rsidRPr="00381CE7">
        <w:rPr>
          <w:rFonts w:ascii="Cambria" w:eastAsia="Times New Roman" w:hAnsi="Cambria" w:cs="Times New Roman"/>
          <w:color w:val="000000"/>
        </w:rPr>
        <w:t>ility scale in control vs screen</w:t>
      </w:r>
      <w:r w:rsidR="00A21C68" w:rsidRPr="00381CE7">
        <w:rPr>
          <w:rFonts w:ascii="Cambria" w:eastAsia="Times New Roman" w:hAnsi="Cambria" w:cs="Times New Roman"/>
          <w:color w:val="000000"/>
        </w:rPr>
        <w:t>-</w:t>
      </w:r>
      <w:r w:rsidRPr="00381CE7">
        <w:rPr>
          <w:rFonts w:ascii="Cambria" w:eastAsia="Times New Roman" w:hAnsi="Cambria" w:cs="Times New Roman"/>
          <w:color w:val="000000"/>
        </w:rPr>
        <w:t>share group (PrU)</w:t>
      </w:r>
      <w:r w:rsidRPr="00381CE7">
        <w:rPr>
          <w:rFonts w:ascii="Cambria" w:eastAsia="Times New Roman" w:hAnsi="Cambria" w:cs="Times New Roman"/>
          <w:i/>
          <w:iCs/>
          <w:color w:val="000000"/>
        </w:rPr>
        <w:t xml:space="preserve"> </w:t>
      </w:r>
      <w:r w:rsidRPr="00381047">
        <w:rPr>
          <w:rFonts w:ascii="Cambria" w:eastAsia="Times New Roman" w:hAnsi="Cambria" w:cs="Times New Roman"/>
          <w:color w:val="000000"/>
        </w:rPr>
        <w:t>(ROR1 and ROR2, Q11);</w:t>
      </w:r>
    </w:p>
    <w:p w14:paraId="37751C82" w14:textId="0535F9AD"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w:t>
      </w:r>
      <w:r w:rsidR="00B67869" w:rsidRPr="00381CE7">
        <w:rPr>
          <w:rFonts w:ascii="Cambria" w:eastAsia="Times New Roman" w:hAnsi="Cambria" w:cs="Times New Roman"/>
          <w:color w:val="000000"/>
        </w:rPr>
        <w:t>7</w:t>
      </w:r>
      <w:r w:rsidRPr="00381CE7">
        <w:rPr>
          <w:rFonts w:ascii="Cambria" w:eastAsia="Times New Roman" w:hAnsi="Cambria" w:cs="Times New Roman"/>
          <w:color w:val="000000"/>
        </w:rPr>
        <w:t>)</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Information seeking in control vs screen</w:t>
      </w:r>
      <w:r w:rsidR="00A21C68" w:rsidRPr="00381CE7">
        <w:rPr>
          <w:rFonts w:ascii="Cambria" w:eastAsia="Times New Roman" w:hAnsi="Cambria" w:cs="Times New Roman"/>
          <w:color w:val="000000"/>
        </w:rPr>
        <w:t>-</w:t>
      </w:r>
      <w:r w:rsidRPr="00381CE7">
        <w:rPr>
          <w:rFonts w:ascii="Cambria" w:eastAsia="Times New Roman" w:hAnsi="Cambria" w:cs="Times New Roman"/>
          <w:color w:val="000000"/>
        </w:rPr>
        <w:t xml:space="preserve">share </w:t>
      </w:r>
      <w:r w:rsidR="0044419D" w:rsidRPr="00381CE7">
        <w:rPr>
          <w:rFonts w:ascii="Cambria" w:eastAsia="Times New Roman" w:hAnsi="Cambria" w:cs="Times New Roman"/>
          <w:color w:val="000000"/>
        </w:rPr>
        <w:t>group and</w:t>
      </w:r>
      <w:r w:rsidRPr="00381CE7">
        <w:rPr>
          <w:rFonts w:ascii="Cambria" w:eastAsia="Times New Roman" w:hAnsi="Cambria" w:cs="Times New Roman"/>
          <w:color w:val="000000"/>
        </w:rPr>
        <w:t xml:space="preserve"> Perceived Usefulness of GUIA (“Information seeking”) (ROR1, Q14) (ROR2, Q7,16);</w:t>
      </w:r>
    </w:p>
    <w:p w14:paraId="22D38198" w14:textId="02B8158D"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w:t>
      </w:r>
      <w:r w:rsidR="00B67869" w:rsidRPr="00381CE7">
        <w:rPr>
          <w:rFonts w:ascii="Cambria" w:eastAsia="Times New Roman" w:hAnsi="Cambria" w:cs="Times New Roman"/>
          <w:color w:val="000000"/>
        </w:rPr>
        <w:t>8</w:t>
      </w:r>
      <w:r w:rsidRPr="00381CE7">
        <w:rPr>
          <w:rFonts w:ascii="Cambria" w:eastAsia="Times New Roman" w:hAnsi="Cambria" w:cs="Times New Roman"/>
          <w:color w:val="000000"/>
        </w:rPr>
        <w:t>)</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Comparison of behavioral changes in co</w:t>
      </w:r>
      <w:r w:rsidRPr="00381CE7">
        <w:rPr>
          <w:rFonts w:ascii="Cambria" w:eastAsia="Times New Roman" w:hAnsi="Cambria" w:cs="Times New Roman"/>
          <w:color w:val="000000"/>
        </w:rPr>
        <w:t>ntrol vs screen</w:t>
      </w:r>
      <w:r w:rsidR="00A21C68" w:rsidRPr="00381CE7">
        <w:rPr>
          <w:rFonts w:ascii="Cambria" w:eastAsia="Times New Roman" w:hAnsi="Cambria" w:cs="Times New Roman"/>
          <w:color w:val="000000"/>
        </w:rPr>
        <w:t>-</w:t>
      </w:r>
      <w:r w:rsidRPr="00381CE7">
        <w:rPr>
          <w:rFonts w:ascii="Cambria" w:eastAsia="Times New Roman" w:hAnsi="Cambria" w:cs="Times New Roman"/>
          <w:color w:val="000000"/>
        </w:rPr>
        <w:t>share group (“Patient-Initiated Actions Attributable to Genetic Testing”) (ROR2, Q5);</w:t>
      </w:r>
    </w:p>
    <w:p w14:paraId="271F59F2" w14:textId="064539F7" w:rsidR="00A95DF0" w:rsidRPr="00020C67" w:rsidRDefault="00B67869"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19</w:t>
      </w:r>
      <w:r w:rsidR="00A95DF0" w:rsidRPr="00381CE7">
        <w:rPr>
          <w:rFonts w:ascii="Cambria" w:eastAsia="Times New Roman" w:hAnsi="Cambria" w:cs="Times New Roman"/>
          <w:color w:val="000000"/>
        </w:rPr>
        <w:t>)</w:t>
      </w:r>
      <w:r w:rsidR="00A95DF0" w:rsidRPr="00020C67">
        <w:rPr>
          <w:rFonts w:ascii="Cambria" w:eastAsia="Times New Roman" w:hAnsi="Cambria" w:cs="Times New Roman"/>
          <w:color w:val="000000"/>
        </w:rPr>
        <w:t xml:space="preserve"> </w:t>
      </w:r>
      <w:r w:rsidR="00A95DF0" w:rsidRPr="009D7DDD">
        <w:rPr>
          <w:rFonts w:ascii="Cambria" w:eastAsia="Times New Roman" w:hAnsi="Cambria" w:cs="Times New Roman"/>
          <w:color w:val="000000"/>
        </w:rPr>
        <w:t>Comparison of patient QOL in control vs screen</w:t>
      </w:r>
      <w:r w:rsidR="00A21C68" w:rsidRPr="00381CE7">
        <w:rPr>
          <w:rFonts w:ascii="Cambria" w:eastAsia="Times New Roman" w:hAnsi="Cambria" w:cs="Times New Roman"/>
          <w:color w:val="000000"/>
        </w:rPr>
        <w:t>-</w:t>
      </w:r>
      <w:r w:rsidR="00A95DF0" w:rsidRPr="00381CE7">
        <w:rPr>
          <w:rFonts w:ascii="Cambria" w:eastAsia="Times New Roman" w:hAnsi="Cambria" w:cs="Times New Roman"/>
          <w:color w:val="000000"/>
        </w:rPr>
        <w:t>share group (Quality of Life Ascertainment Visual Analog Scale and PedsQL Generic Core Scale) (ROR2, Q14,15);</w:t>
      </w:r>
    </w:p>
    <w:p w14:paraId="78CA5574" w14:textId="28CD6B4F"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2</w:t>
      </w:r>
      <w:r w:rsidR="00B67869" w:rsidRPr="00381CE7">
        <w:rPr>
          <w:rFonts w:ascii="Cambria" w:eastAsia="Times New Roman" w:hAnsi="Cambria" w:cs="Times New Roman"/>
          <w:color w:val="000000"/>
        </w:rPr>
        <w:t>0</w:t>
      </w:r>
      <w:r w:rsidRPr="00381CE7">
        <w:rPr>
          <w:rFonts w:ascii="Cambria" w:eastAsia="Times New Roman" w:hAnsi="Cambria" w:cs="Times New Roman"/>
          <w:color w:val="000000"/>
        </w:rPr>
        <w:t>)</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Family communication in control vs screen</w:t>
      </w:r>
      <w:r w:rsidR="00A21C68" w:rsidRPr="00381CE7">
        <w:rPr>
          <w:rFonts w:ascii="Cambria" w:eastAsia="Times New Roman" w:hAnsi="Cambria" w:cs="Times New Roman"/>
          <w:color w:val="000000"/>
        </w:rPr>
        <w:t>-</w:t>
      </w:r>
      <w:r w:rsidRPr="00381CE7">
        <w:rPr>
          <w:rFonts w:ascii="Cambria" w:eastAsia="Times New Roman" w:hAnsi="Cambria" w:cs="Times New Roman"/>
          <w:color w:val="000000"/>
        </w:rPr>
        <w:t>share group (“Family Communication”) (ROR2, Q6);</w:t>
      </w:r>
    </w:p>
    <w:p w14:paraId="053D3A5B" w14:textId="6B9A807A"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2</w:t>
      </w:r>
      <w:r w:rsidR="00B67869" w:rsidRPr="00381CE7">
        <w:rPr>
          <w:rFonts w:ascii="Cambria" w:eastAsia="Times New Roman" w:hAnsi="Cambria" w:cs="Times New Roman"/>
          <w:color w:val="000000"/>
        </w:rPr>
        <w:t>1</w:t>
      </w:r>
      <w:r w:rsidRPr="00381CE7">
        <w:rPr>
          <w:rFonts w:ascii="Cambria" w:eastAsia="Times New Roman" w:hAnsi="Cambria" w:cs="Times New Roman"/>
          <w:color w:val="000000"/>
        </w:rPr>
        <w:t>)</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Decision regret in control vs screen</w:t>
      </w:r>
      <w:r w:rsidR="00A21C68" w:rsidRPr="00381CE7">
        <w:rPr>
          <w:rFonts w:ascii="Cambria" w:eastAsia="Times New Roman" w:hAnsi="Cambria" w:cs="Times New Roman"/>
          <w:color w:val="000000"/>
        </w:rPr>
        <w:t>-</w:t>
      </w:r>
      <w:r w:rsidRPr="00381CE7">
        <w:rPr>
          <w:rFonts w:ascii="Cambria" w:eastAsia="Times New Roman" w:hAnsi="Cambria" w:cs="Times New Roman"/>
          <w:color w:val="000000"/>
        </w:rPr>
        <w:t>share group (“Decision Regret”) (ROR1 and ROR2, Q12);</w:t>
      </w:r>
    </w:p>
    <w:p w14:paraId="18F4683D" w14:textId="6C79B6CA"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2</w:t>
      </w:r>
      <w:r w:rsidR="00B67869" w:rsidRPr="00381CE7">
        <w:rPr>
          <w:rFonts w:ascii="Cambria" w:eastAsia="Times New Roman" w:hAnsi="Cambria" w:cs="Times New Roman"/>
          <w:color w:val="000000"/>
        </w:rPr>
        <w:t>2</w:t>
      </w:r>
      <w:r w:rsidRPr="00381CE7">
        <w:rPr>
          <w:rFonts w:ascii="Cambria" w:eastAsia="Times New Roman" w:hAnsi="Cambria" w:cs="Times New Roman"/>
          <w:color w:val="000000"/>
        </w:rPr>
        <w:t>)</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 xml:space="preserve">Economic impact of child’s health status (Baseline and </w:t>
      </w:r>
      <w:r w:rsidRPr="00381CE7">
        <w:rPr>
          <w:rFonts w:ascii="Cambria" w:eastAsia="Times New Roman" w:hAnsi="Cambria" w:cs="Times New Roman"/>
          <w:color w:val="000000"/>
        </w:rPr>
        <w:t>ROR2, Q8);</w:t>
      </w:r>
    </w:p>
    <w:p w14:paraId="734FA1F5" w14:textId="14664218" w:rsidR="00A95DF0" w:rsidRPr="00020C67" w:rsidRDefault="00A95DF0" w:rsidP="00020C67">
      <w:pPr>
        <w:spacing w:before="20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2</w:t>
      </w:r>
      <w:r w:rsidR="00B67869" w:rsidRPr="00381CE7">
        <w:rPr>
          <w:rFonts w:ascii="Cambria" w:eastAsia="Times New Roman" w:hAnsi="Cambria" w:cs="Times New Roman"/>
          <w:color w:val="000000"/>
        </w:rPr>
        <w:t>3</w:t>
      </w:r>
      <w:r w:rsidRPr="00381CE7">
        <w:rPr>
          <w:rFonts w:ascii="Cambria" w:eastAsia="Times New Roman" w:hAnsi="Cambria" w:cs="Times New Roman"/>
          <w:color w:val="000000"/>
        </w:rPr>
        <w:t>)</w:t>
      </w:r>
      <w:r w:rsidRPr="00020C67">
        <w:rPr>
          <w:rFonts w:ascii="Cambria" w:eastAsia="Times New Roman" w:hAnsi="Cambria" w:cs="Times New Roman"/>
          <w:color w:val="000000"/>
        </w:rPr>
        <w:t xml:space="preserve"> </w:t>
      </w:r>
      <w:r w:rsidRPr="009D7DDD">
        <w:rPr>
          <w:rFonts w:ascii="Cambria" w:eastAsia="Times New Roman" w:hAnsi="Cambria" w:cs="Times New Roman"/>
          <w:color w:val="000000"/>
        </w:rPr>
        <w:t xml:space="preserve">Access to care (Baseline and ROR2), </w:t>
      </w:r>
      <w:r w:rsidRPr="00381CE7">
        <w:rPr>
          <w:rFonts w:ascii="Cambria" w:eastAsia="Times New Roman" w:hAnsi="Cambria" w:cs="Times New Roman"/>
          <w:bCs/>
          <w:color w:val="000000"/>
        </w:rPr>
        <w:t>modified to address access if using telehealth mechanisms;</w:t>
      </w:r>
    </w:p>
    <w:p w14:paraId="1730B61B" w14:textId="77777777" w:rsidR="00A95DF0" w:rsidRPr="00020C67" w:rsidRDefault="00A95DF0" w:rsidP="00020C67">
      <w:pPr>
        <w:spacing w:after="0" w:line="240" w:lineRule="auto"/>
        <w:jc w:val="both"/>
        <w:rPr>
          <w:rFonts w:ascii="Cambria" w:eastAsia="Times New Roman" w:hAnsi="Cambria" w:cs="Times New Roman"/>
        </w:rPr>
      </w:pPr>
    </w:p>
    <w:p w14:paraId="42C6DD36"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color w:val="000000"/>
          <w:u w:val="single"/>
        </w:rPr>
        <w:t>Exploratory outcomes</w:t>
      </w:r>
    </w:p>
    <w:p w14:paraId="62212B52" w14:textId="578B93A8" w:rsidR="00A95DF0" w:rsidRPr="00020C67" w:rsidRDefault="00A95DF0" w:rsidP="00020C67">
      <w:pPr>
        <w:spacing w:before="120" w:after="0" w:line="240" w:lineRule="auto"/>
        <w:ind w:left="900"/>
        <w:jc w:val="both"/>
        <w:rPr>
          <w:rFonts w:ascii="Cambria" w:eastAsia="Times New Roman" w:hAnsi="Cambria" w:cs="Times New Roman"/>
        </w:rPr>
      </w:pPr>
      <w:r w:rsidRPr="009D7DDD">
        <w:rPr>
          <w:rFonts w:ascii="Cambria" w:eastAsia="Times New Roman" w:hAnsi="Cambria" w:cs="Times New Roman"/>
          <w:color w:val="000000"/>
        </w:rPr>
        <w:t>1)</w:t>
      </w:r>
      <w:r w:rsidRPr="00020C67">
        <w:rPr>
          <w:rFonts w:ascii="Cambria" w:eastAsia="Times New Roman" w:hAnsi="Cambria" w:cs="Times New Roman"/>
          <w:color w:val="000000"/>
        </w:rPr>
        <w:t> </w:t>
      </w:r>
      <w:r w:rsidRPr="009D7DDD">
        <w:rPr>
          <w:rFonts w:ascii="Cambria" w:eastAsia="Times New Roman" w:hAnsi="Cambria" w:cs="Times New Roman"/>
          <w:color w:val="000000"/>
        </w:rPr>
        <w:t>For study subjects with active disease (</w:t>
      </w:r>
      <w:r w:rsidRPr="00381CE7">
        <w:rPr>
          <w:rFonts w:ascii="Cambria" w:eastAsia="Times New Roman" w:hAnsi="Cambria" w:cs="Times New Roman"/>
          <w:i/>
          <w:color w:val="000000"/>
        </w:rPr>
        <w:t>i.e</w:t>
      </w:r>
      <w:r w:rsidRPr="00381CE7">
        <w:rPr>
          <w:rFonts w:ascii="Cambria" w:eastAsia="Times New Roman" w:hAnsi="Cambria" w:cs="Times New Roman"/>
          <w:color w:val="000000"/>
        </w:rPr>
        <w:t xml:space="preserve">., neurology, cardiology, primary immunodeficiency), physician recommended </w:t>
      </w:r>
      <w:r w:rsidRPr="00381047">
        <w:rPr>
          <w:rFonts w:ascii="Cambria" w:eastAsia="Times New Roman" w:hAnsi="Cambria" w:cs="Times New Roman"/>
          <w:color w:val="000000"/>
        </w:rPr>
        <w:t>change in treatment (medication, prophylaxis, or therapy) in children with a positive genomic diagnosis compared to those with a negative genomic diagnosis, based on Referring Physician Opinion and Recommendations; to be assessed at ROR1</w:t>
      </w:r>
      <w:r w:rsidR="00255333" w:rsidRPr="00381047">
        <w:rPr>
          <w:rFonts w:ascii="Cambria" w:eastAsia="Times New Roman" w:hAnsi="Cambria" w:cs="Times New Roman"/>
          <w:color w:val="000000"/>
        </w:rPr>
        <w:t>.</w:t>
      </w:r>
    </w:p>
    <w:p w14:paraId="6CE23438" w14:textId="1CC83E9B" w:rsidR="007C6B13" w:rsidRPr="00381CE7" w:rsidRDefault="00A95DF0" w:rsidP="00020C67">
      <w:pPr>
        <w:spacing w:after="0" w:line="240" w:lineRule="auto"/>
        <w:jc w:val="both"/>
        <w:rPr>
          <w:rFonts w:ascii="Cambria" w:eastAsia="Times New Roman" w:hAnsi="Cambria" w:cs="Times New Roman"/>
          <w:color w:val="000000"/>
        </w:rPr>
      </w:pPr>
      <w:r w:rsidRPr="00020C67">
        <w:rPr>
          <w:rFonts w:ascii="Cambria" w:eastAsia="Times New Roman" w:hAnsi="Cambria" w:cs="Times"/>
          <w:color w:val="000000"/>
        </w:rPr>
        <w:t>  </w:t>
      </w:r>
    </w:p>
    <w:p w14:paraId="3CFA2E79" w14:textId="4916901B" w:rsidR="007C6B13" w:rsidRPr="00220863" w:rsidRDefault="00C71A1F" w:rsidP="00020C67">
      <w:pPr>
        <w:spacing w:after="0" w:line="240" w:lineRule="auto"/>
        <w:ind w:left="900"/>
        <w:jc w:val="both"/>
        <w:rPr>
          <w:rFonts w:ascii="Cambria" w:eastAsia="Times New Roman" w:hAnsi="Cambria" w:cs="Times New Roman"/>
          <w:color w:val="000000"/>
        </w:rPr>
      </w:pPr>
      <w:r w:rsidRPr="00381CE7">
        <w:rPr>
          <w:rFonts w:ascii="Cambria" w:eastAsia="Times New Roman" w:hAnsi="Cambria" w:cs="Times New Roman"/>
          <w:color w:val="000000"/>
        </w:rPr>
        <w:t>2</w:t>
      </w:r>
      <w:r w:rsidR="007C6B13" w:rsidRPr="00381047">
        <w:rPr>
          <w:rFonts w:ascii="Cambria" w:eastAsia="Times New Roman" w:hAnsi="Cambria" w:cs="Times New Roman"/>
          <w:color w:val="000000"/>
        </w:rPr>
        <w:t>) Compare comfort with computers</w:t>
      </w:r>
      <w:r w:rsidR="00BA6E91" w:rsidRPr="00381047">
        <w:rPr>
          <w:rFonts w:ascii="Cambria" w:eastAsia="Times New Roman" w:hAnsi="Cambria" w:cs="Times New Roman"/>
          <w:color w:val="000000"/>
        </w:rPr>
        <w:t xml:space="preserve">/technology </w:t>
      </w:r>
      <w:r w:rsidR="007C6B13" w:rsidRPr="00381047">
        <w:rPr>
          <w:rFonts w:ascii="Cambria" w:eastAsia="Times New Roman" w:hAnsi="Cambria" w:cs="Times New Roman"/>
          <w:color w:val="000000"/>
        </w:rPr>
        <w:t xml:space="preserve">with satisfaction </w:t>
      </w:r>
      <w:r w:rsidR="00BA6E91" w:rsidRPr="00381047">
        <w:rPr>
          <w:rFonts w:ascii="Cambria" w:eastAsia="Times New Roman" w:hAnsi="Cambria" w:cs="Times New Roman"/>
          <w:color w:val="000000"/>
        </w:rPr>
        <w:t xml:space="preserve">with return of results and with understanding of genomic results in </w:t>
      </w:r>
      <w:r w:rsidR="00E338DA" w:rsidRPr="00381047">
        <w:rPr>
          <w:rFonts w:ascii="Cambria" w:eastAsia="Times New Roman" w:hAnsi="Cambria" w:cs="Times New Roman"/>
          <w:color w:val="000000"/>
        </w:rPr>
        <w:t xml:space="preserve">screen-share </w:t>
      </w:r>
      <w:r w:rsidR="00BA6E91" w:rsidRPr="00381047">
        <w:rPr>
          <w:rFonts w:ascii="Cambria" w:eastAsia="Times New Roman" w:hAnsi="Cambria" w:cs="Times New Roman"/>
          <w:color w:val="000000"/>
        </w:rPr>
        <w:t>vs</w:t>
      </w:r>
      <w:r w:rsidR="00E338DA" w:rsidRPr="00381047">
        <w:rPr>
          <w:rFonts w:ascii="Cambria" w:eastAsia="Times New Roman" w:hAnsi="Cambria" w:cs="Times New Roman"/>
          <w:color w:val="000000"/>
        </w:rPr>
        <w:t>.</w:t>
      </w:r>
      <w:r w:rsidR="00BA6E91" w:rsidRPr="00381047">
        <w:rPr>
          <w:rFonts w:ascii="Cambria" w:eastAsia="Times New Roman" w:hAnsi="Cambria" w:cs="Times New Roman"/>
          <w:color w:val="000000"/>
        </w:rPr>
        <w:t xml:space="preserve"> </w:t>
      </w:r>
      <w:r w:rsidR="00E338DA" w:rsidRPr="00381047">
        <w:rPr>
          <w:rFonts w:ascii="Cambria" w:eastAsia="Times New Roman" w:hAnsi="Cambria" w:cs="Times New Roman"/>
          <w:color w:val="000000"/>
        </w:rPr>
        <w:t>non</w:t>
      </w:r>
      <w:r w:rsidR="00BA6E91" w:rsidRPr="00381047">
        <w:rPr>
          <w:rFonts w:ascii="Cambria" w:eastAsia="Times New Roman" w:hAnsi="Cambria" w:cs="Times New Roman"/>
          <w:color w:val="000000"/>
        </w:rPr>
        <w:t>-</w:t>
      </w:r>
      <w:r w:rsidR="00E338DA" w:rsidRPr="00381047">
        <w:rPr>
          <w:rFonts w:ascii="Cambria" w:eastAsia="Times New Roman" w:hAnsi="Cambria" w:cs="Times New Roman"/>
          <w:color w:val="000000"/>
        </w:rPr>
        <w:t>s</w:t>
      </w:r>
      <w:r w:rsidR="00BA6E91" w:rsidRPr="00381047">
        <w:rPr>
          <w:rFonts w:ascii="Cambria" w:eastAsia="Times New Roman" w:hAnsi="Cambria" w:cs="Times New Roman"/>
          <w:color w:val="000000"/>
        </w:rPr>
        <w:t>creen</w:t>
      </w:r>
      <w:r w:rsidR="00E338DA" w:rsidRPr="00381047">
        <w:rPr>
          <w:rFonts w:ascii="Cambria" w:eastAsia="Times New Roman" w:hAnsi="Cambria" w:cs="Times New Roman"/>
          <w:color w:val="000000"/>
        </w:rPr>
        <w:t>-s</w:t>
      </w:r>
      <w:r w:rsidR="00BA6E91" w:rsidRPr="00381047">
        <w:rPr>
          <w:rFonts w:ascii="Cambria" w:eastAsia="Times New Roman" w:hAnsi="Cambria" w:cs="Times New Roman"/>
          <w:color w:val="000000"/>
        </w:rPr>
        <w:t>hare arms</w:t>
      </w:r>
      <w:r w:rsidR="00BA6E91" w:rsidRPr="00381047" w:rsidDel="00BA6E91">
        <w:rPr>
          <w:rFonts w:ascii="Cambria" w:eastAsia="Times New Roman" w:hAnsi="Cambria" w:cs="Times New Roman"/>
          <w:color w:val="000000"/>
        </w:rPr>
        <w:t xml:space="preserve"> </w:t>
      </w:r>
    </w:p>
    <w:p w14:paraId="5C453320" w14:textId="77777777" w:rsidR="008E5CBB" w:rsidRPr="00485E38" w:rsidRDefault="008E5CBB" w:rsidP="00020C67">
      <w:pPr>
        <w:spacing w:after="0" w:line="240" w:lineRule="auto"/>
        <w:ind w:left="900"/>
        <w:jc w:val="both"/>
        <w:rPr>
          <w:rFonts w:ascii="Cambria" w:eastAsia="Times New Roman" w:hAnsi="Cambria" w:cs="Times New Roman"/>
          <w:color w:val="000000"/>
        </w:rPr>
      </w:pPr>
    </w:p>
    <w:p w14:paraId="64D5A19C" w14:textId="01A346CF" w:rsidR="007C6B13" w:rsidRPr="00485E38" w:rsidRDefault="00C71A1F" w:rsidP="00020C67">
      <w:pPr>
        <w:spacing w:after="0" w:line="240" w:lineRule="auto"/>
        <w:ind w:left="900"/>
        <w:jc w:val="both"/>
        <w:rPr>
          <w:rFonts w:ascii="Cambria" w:eastAsia="Times New Roman" w:hAnsi="Cambria" w:cs="Times New Roman"/>
          <w:color w:val="000000"/>
        </w:rPr>
      </w:pPr>
      <w:r w:rsidRPr="00485E38">
        <w:rPr>
          <w:rFonts w:ascii="Cambria" w:eastAsia="Times New Roman" w:hAnsi="Cambria" w:cs="Times New Roman"/>
          <w:color w:val="000000"/>
        </w:rPr>
        <w:t>3</w:t>
      </w:r>
      <w:r w:rsidR="007C6B13" w:rsidRPr="00485E38">
        <w:rPr>
          <w:rFonts w:ascii="Cambria" w:eastAsia="Times New Roman" w:hAnsi="Cambria" w:cs="Times New Roman"/>
          <w:color w:val="000000"/>
        </w:rPr>
        <w:t xml:space="preserve">) </w:t>
      </w:r>
      <w:r w:rsidR="00BA6E91" w:rsidRPr="00485E38">
        <w:rPr>
          <w:rFonts w:ascii="Cambria" w:eastAsia="Times New Roman" w:hAnsi="Cambria" w:cs="Times New Roman"/>
          <w:color w:val="000000"/>
        </w:rPr>
        <w:t>C</w:t>
      </w:r>
      <w:r w:rsidR="007C6B13" w:rsidRPr="00485E38">
        <w:rPr>
          <w:rFonts w:ascii="Cambria" w:eastAsia="Times New Roman" w:hAnsi="Cambria" w:cs="Times New Roman"/>
          <w:color w:val="000000"/>
        </w:rPr>
        <w:t xml:space="preserve">ompare </w:t>
      </w:r>
      <w:r w:rsidR="00BA6E91" w:rsidRPr="00485E38">
        <w:rPr>
          <w:rFonts w:ascii="Cambria" w:eastAsia="Times New Roman" w:hAnsi="Cambria" w:cs="Times New Roman"/>
          <w:color w:val="000000"/>
        </w:rPr>
        <w:t xml:space="preserve">previous </w:t>
      </w:r>
      <w:r w:rsidR="007C6B13" w:rsidRPr="00485E38">
        <w:rPr>
          <w:rFonts w:ascii="Cambria" w:eastAsia="Times New Roman" w:hAnsi="Cambria" w:cs="Times New Roman"/>
          <w:color w:val="000000"/>
        </w:rPr>
        <w:t>telehealth experience with</w:t>
      </w:r>
      <w:r w:rsidR="00BA6E91" w:rsidRPr="00485E38">
        <w:rPr>
          <w:rFonts w:ascii="Cambria" w:eastAsia="Times New Roman" w:hAnsi="Cambria" w:cs="Times New Roman"/>
          <w:color w:val="000000"/>
        </w:rPr>
        <w:t xml:space="preserve"> satisfaction with return of results and with understanding of genomic results in </w:t>
      </w:r>
      <w:r w:rsidR="00E338DA" w:rsidRPr="00485E38">
        <w:rPr>
          <w:rFonts w:ascii="Cambria" w:eastAsia="Times New Roman" w:hAnsi="Cambria" w:cs="Times New Roman"/>
          <w:color w:val="000000"/>
        </w:rPr>
        <w:t>screen-s</w:t>
      </w:r>
      <w:r w:rsidR="00BA6E91" w:rsidRPr="00485E38">
        <w:rPr>
          <w:rFonts w:ascii="Cambria" w:eastAsia="Times New Roman" w:hAnsi="Cambria" w:cs="Times New Roman"/>
          <w:color w:val="000000"/>
        </w:rPr>
        <w:t>hare vs</w:t>
      </w:r>
      <w:r w:rsidR="00E338DA" w:rsidRPr="00485E38">
        <w:rPr>
          <w:rFonts w:ascii="Cambria" w:eastAsia="Times New Roman" w:hAnsi="Cambria" w:cs="Times New Roman"/>
          <w:color w:val="000000"/>
        </w:rPr>
        <w:t>.</w:t>
      </w:r>
      <w:r w:rsidR="00BA6E91" w:rsidRPr="00485E38">
        <w:rPr>
          <w:rFonts w:ascii="Cambria" w:eastAsia="Times New Roman" w:hAnsi="Cambria" w:cs="Times New Roman"/>
          <w:color w:val="000000"/>
        </w:rPr>
        <w:t xml:space="preserve"> </w:t>
      </w:r>
      <w:r w:rsidR="00E338DA" w:rsidRPr="00485E38">
        <w:rPr>
          <w:rFonts w:ascii="Cambria" w:eastAsia="Times New Roman" w:hAnsi="Cambria" w:cs="Times New Roman"/>
          <w:color w:val="000000"/>
        </w:rPr>
        <w:t>n</w:t>
      </w:r>
      <w:r w:rsidR="00BA6E91" w:rsidRPr="00485E38">
        <w:rPr>
          <w:rFonts w:ascii="Cambria" w:eastAsia="Times New Roman" w:hAnsi="Cambria" w:cs="Times New Roman"/>
          <w:color w:val="000000"/>
        </w:rPr>
        <w:t>on-</w:t>
      </w:r>
      <w:r w:rsidR="00E338DA" w:rsidRPr="00485E38">
        <w:rPr>
          <w:rFonts w:ascii="Cambria" w:eastAsia="Times New Roman" w:hAnsi="Cambria" w:cs="Times New Roman"/>
          <w:color w:val="000000"/>
        </w:rPr>
        <w:t>s</w:t>
      </w:r>
      <w:r w:rsidR="00BA6E91" w:rsidRPr="00485E38">
        <w:rPr>
          <w:rFonts w:ascii="Cambria" w:eastAsia="Times New Roman" w:hAnsi="Cambria" w:cs="Times New Roman"/>
          <w:color w:val="000000"/>
        </w:rPr>
        <w:t>creen</w:t>
      </w:r>
      <w:r w:rsidR="00E338DA" w:rsidRPr="00485E38">
        <w:rPr>
          <w:rFonts w:ascii="Cambria" w:eastAsia="Times New Roman" w:hAnsi="Cambria" w:cs="Times New Roman"/>
          <w:color w:val="000000"/>
        </w:rPr>
        <w:t>-s</w:t>
      </w:r>
      <w:r w:rsidR="00BA6E91" w:rsidRPr="00485E38">
        <w:rPr>
          <w:rFonts w:ascii="Cambria" w:eastAsia="Times New Roman" w:hAnsi="Cambria" w:cs="Times New Roman"/>
          <w:color w:val="000000"/>
        </w:rPr>
        <w:t>hare arms.</w:t>
      </w:r>
    </w:p>
    <w:p w14:paraId="2524A94F" w14:textId="07A71E1E" w:rsidR="008E5CBB" w:rsidRPr="00485E38" w:rsidRDefault="008E5CBB" w:rsidP="00020C67">
      <w:pPr>
        <w:spacing w:after="0" w:line="240" w:lineRule="auto"/>
        <w:jc w:val="both"/>
        <w:rPr>
          <w:rFonts w:ascii="Cambria" w:eastAsia="Times New Roman" w:hAnsi="Cambria" w:cs="Times New Roman"/>
          <w:color w:val="000000"/>
        </w:rPr>
      </w:pPr>
    </w:p>
    <w:p w14:paraId="31D89960" w14:textId="6FE0355C" w:rsidR="00182875" w:rsidRPr="00485E38" w:rsidRDefault="000A35AB" w:rsidP="00020C67">
      <w:pPr>
        <w:spacing w:after="0" w:line="240" w:lineRule="auto"/>
        <w:ind w:left="900"/>
        <w:jc w:val="both"/>
        <w:rPr>
          <w:rFonts w:ascii="Cambria" w:eastAsia="Times New Roman" w:hAnsi="Cambria" w:cs="Times New Roman"/>
          <w:color w:val="000000"/>
        </w:rPr>
      </w:pPr>
      <w:r w:rsidRPr="00485E38">
        <w:rPr>
          <w:rFonts w:ascii="Cambria" w:eastAsia="Times New Roman" w:hAnsi="Cambria" w:cs="Times New Roman"/>
          <w:color w:val="000000"/>
        </w:rPr>
        <w:t>4</w:t>
      </w:r>
      <w:r w:rsidR="00BA6E91" w:rsidRPr="00485E38">
        <w:rPr>
          <w:rFonts w:ascii="Cambria" w:eastAsia="Times New Roman" w:hAnsi="Cambria" w:cs="Times New Roman"/>
          <w:color w:val="000000"/>
        </w:rPr>
        <w:t xml:space="preserve">) Describe the frequency and types of technical difficulties during study telehealth visits (if any) between the </w:t>
      </w:r>
      <w:r w:rsidR="00E338DA" w:rsidRPr="00485E38">
        <w:rPr>
          <w:rFonts w:ascii="Cambria" w:eastAsia="Times New Roman" w:hAnsi="Cambria" w:cs="Times New Roman"/>
          <w:color w:val="000000"/>
        </w:rPr>
        <w:t>screen-s</w:t>
      </w:r>
      <w:r w:rsidR="00BA6E91" w:rsidRPr="00485E38">
        <w:rPr>
          <w:rFonts w:ascii="Cambria" w:eastAsia="Times New Roman" w:hAnsi="Cambria" w:cs="Times New Roman"/>
          <w:color w:val="000000"/>
        </w:rPr>
        <w:t>hare vs</w:t>
      </w:r>
      <w:r w:rsidR="00E338DA" w:rsidRPr="00485E38">
        <w:rPr>
          <w:rFonts w:ascii="Cambria" w:eastAsia="Times New Roman" w:hAnsi="Cambria" w:cs="Times New Roman"/>
          <w:color w:val="000000"/>
        </w:rPr>
        <w:t>.</w:t>
      </w:r>
      <w:r w:rsidR="00BA6E91" w:rsidRPr="00485E38">
        <w:rPr>
          <w:rFonts w:ascii="Cambria" w:eastAsia="Times New Roman" w:hAnsi="Cambria" w:cs="Times New Roman"/>
          <w:color w:val="000000"/>
        </w:rPr>
        <w:t xml:space="preserve"> </w:t>
      </w:r>
      <w:r w:rsidR="00E338DA" w:rsidRPr="00485E38">
        <w:rPr>
          <w:rFonts w:ascii="Cambria" w:eastAsia="Times New Roman" w:hAnsi="Cambria" w:cs="Times New Roman"/>
          <w:color w:val="000000"/>
        </w:rPr>
        <w:t>n</w:t>
      </w:r>
      <w:r w:rsidR="00BA6E91" w:rsidRPr="00485E38">
        <w:rPr>
          <w:rFonts w:ascii="Cambria" w:eastAsia="Times New Roman" w:hAnsi="Cambria" w:cs="Times New Roman"/>
          <w:color w:val="000000"/>
        </w:rPr>
        <w:t>on-</w:t>
      </w:r>
      <w:r w:rsidR="00E338DA" w:rsidRPr="00485E38">
        <w:rPr>
          <w:rFonts w:ascii="Cambria" w:eastAsia="Times New Roman" w:hAnsi="Cambria" w:cs="Times New Roman"/>
          <w:color w:val="000000"/>
        </w:rPr>
        <w:t>s</w:t>
      </w:r>
      <w:r w:rsidR="00BA6E91" w:rsidRPr="00485E38">
        <w:rPr>
          <w:rFonts w:ascii="Cambria" w:eastAsia="Times New Roman" w:hAnsi="Cambria" w:cs="Times New Roman"/>
          <w:color w:val="000000"/>
        </w:rPr>
        <w:t>creen</w:t>
      </w:r>
      <w:r w:rsidR="00E338DA" w:rsidRPr="00485E38">
        <w:rPr>
          <w:rFonts w:ascii="Cambria" w:eastAsia="Times New Roman" w:hAnsi="Cambria" w:cs="Times New Roman"/>
          <w:color w:val="000000"/>
        </w:rPr>
        <w:t>-s</w:t>
      </w:r>
      <w:r w:rsidR="00BA6E91" w:rsidRPr="00485E38">
        <w:rPr>
          <w:rFonts w:ascii="Cambria" w:eastAsia="Times New Roman" w:hAnsi="Cambria" w:cs="Times New Roman"/>
          <w:color w:val="000000"/>
        </w:rPr>
        <w:t xml:space="preserve">hare arms. </w:t>
      </w:r>
    </w:p>
    <w:p w14:paraId="2EE3AEB8" w14:textId="77777777" w:rsidR="00182875" w:rsidRPr="00485E38" w:rsidRDefault="00182875" w:rsidP="00020C67">
      <w:pPr>
        <w:spacing w:after="0" w:line="240" w:lineRule="auto"/>
        <w:ind w:left="900"/>
        <w:jc w:val="both"/>
        <w:rPr>
          <w:rFonts w:ascii="Cambria" w:eastAsia="Times New Roman" w:hAnsi="Cambria" w:cs="Times New Roman"/>
          <w:color w:val="000000"/>
        </w:rPr>
      </w:pPr>
    </w:p>
    <w:p w14:paraId="366C484C" w14:textId="288438CF" w:rsidR="00182875" w:rsidRPr="00381047" w:rsidRDefault="000A35AB" w:rsidP="00020C67">
      <w:pPr>
        <w:spacing w:after="0" w:line="240" w:lineRule="auto"/>
        <w:ind w:left="900"/>
        <w:jc w:val="both"/>
        <w:rPr>
          <w:rFonts w:ascii="Cambria" w:eastAsia="Times New Roman" w:hAnsi="Cambria" w:cs="Times New Roman"/>
          <w:color w:val="000000"/>
        </w:rPr>
      </w:pPr>
      <w:r w:rsidRPr="00485E38">
        <w:rPr>
          <w:rFonts w:ascii="Cambria" w:eastAsia="Times New Roman" w:hAnsi="Cambria" w:cs="Times New Roman"/>
          <w:color w:val="000000"/>
        </w:rPr>
        <w:t>5</w:t>
      </w:r>
      <w:r w:rsidR="00182875" w:rsidRPr="00485E38">
        <w:rPr>
          <w:rFonts w:ascii="Cambria" w:eastAsia="Times New Roman" w:hAnsi="Cambria" w:cs="Times New Roman"/>
          <w:color w:val="000000"/>
        </w:rPr>
        <w:t>)  G</w:t>
      </w:r>
      <w:r w:rsidR="00381047">
        <w:rPr>
          <w:rFonts w:ascii="Cambria" w:eastAsia="Times New Roman" w:hAnsi="Cambria" w:cs="Times New Roman"/>
          <w:color w:val="000000"/>
        </w:rPr>
        <w:t>C</w:t>
      </w:r>
      <w:r w:rsidR="00182875" w:rsidRPr="00381047">
        <w:rPr>
          <w:rFonts w:ascii="Cambria" w:eastAsia="Times New Roman" w:hAnsi="Cambria" w:cs="Times New Roman"/>
          <w:color w:val="000000"/>
        </w:rPr>
        <w:t>/provider satisfaction with and preference for telehealth visit with screening sharing capabilities or no screen</w:t>
      </w:r>
      <w:r w:rsidR="00E338DA" w:rsidRPr="00381047">
        <w:rPr>
          <w:rFonts w:ascii="Cambria" w:eastAsia="Times New Roman" w:hAnsi="Cambria" w:cs="Times New Roman"/>
          <w:color w:val="000000"/>
        </w:rPr>
        <w:t>-</w:t>
      </w:r>
      <w:r w:rsidR="00182875" w:rsidRPr="00381047">
        <w:rPr>
          <w:rFonts w:ascii="Cambria" w:eastAsia="Times New Roman" w:hAnsi="Cambria" w:cs="Times New Roman"/>
          <w:color w:val="000000"/>
        </w:rPr>
        <w:t>sharing capabilities vs</w:t>
      </w:r>
      <w:r w:rsidR="00E338DA" w:rsidRPr="00381047">
        <w:rPr>
          <w:rFonts w:ascii="Cambria" w:eastAsia="Times New Roman" w:hAnsi="Cambria" w:cs="Times New Roman"/>
          <w:color w:val="000000"/>
        </w:rPr>
        <w:t>.</w:t>
      </w:r>
      <w:r w:rsidR="00182875" w:rsidRPr="00381047">
        <w:rPr>
          <w:rFonts w:ascii="Cambria" w:eastAsia="Times New Roman" w:hAnsi="Cambria" w:cs="Times New Roman"/>
          <w:color w:val="000000"/>
        </w:rPr>
        <w:t xml:space="preserve"> in-person counseling and compare the two groups. </w:t>
      </w:r>
    </w:p>
    <w:p w14:paraId="29CC8154" w14:textId="77777777" w:rsidR="00BA6E91" w:rsidRPr="00020C67" w:rsidRDefault="00BA6E91" w:rsidP="00020C67">
      <w:pPr>
        <w:spacing w:after="0" w:line="240" w:lineRule="auto"/>
        <w:jc w:val="both"/>
        <w:rPr>
          <w:rFonts w:ascii="Cambria" w:eastAsia="Times New Roman" w:hAnsi="Cambria" w:cs="Times New Roman"/>
        </w:rPr>
      </w:pPr>
    </w:p>
    <w:p w14:paraId="5DAB69A9" w14:textId="77777777" w:rsidR="00A95DF0" w:rsidRPr="00020C67" w:rsidRDefault="00A95DF0" w:rsidP="00020C67">
      <w:pPr>
        <w:spacing w:after="0" w:line="240" w:lineRule="auto"/>
        <w:jc w:val="both"/>
        <w:rPr>
          <w:rFonts w:ascii="Cambria" w:eastAsia="Times New Roman" w:hAnsi="Cambria" w:cs="Times New Roman"/>
        </w:rPr>
      </w:pPr>
    </w:p>
    <w:p w14:paraId="140168DD"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II.e. Clinical Trial Design</w:t>
      </w:r>
    </w:p>
    <w:p w14:paraId="1520B26A" w14:textId="2D10480E"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The overall design is a pilot study, evaluating the use </w:t>
      </w:r>
      <w:r w:rsidR="00311747" w:rsidRPr="00381CE7">
        <w:rPr>
          <w:rFonts w:ascii="Cambria" w:eastAsia="Times New Roman" w:hAnsi="Cambria" w:cs="Times New Roman"/>
          <w:color w:val="000000"/>
        </w:rPr>
        <w:t xml:space="preserve">of video </w:t>
      </w:r>
      <w:r w:rsidR="009A3FA9" w:rsidRPr="00381CE7">
        <w:rPr>
          <w:rFonts w:ascii="Cambria" w:eastAsia="Times New Roman" w:hAnsi="Cambria" w:cs="Times New Roman"/>
          <w:color w:val="000000"/>
        </w:rPr>
        <w:t>plus</w:t>
      </w:r>
      <w:r w:rsidR="00311747" w:rsidRPr="00381CE7">
        <w:rPr>
          <w:rFonts w:ascii="Cambria" w:eastAsia="Times New Roman" w:hAnsi="Cambria" w:cs="Times New Roman"/>
          <w:color w:val="000000"/>
        </w:rPr>
        <w:t xml:space="preserve"> screen</w:t>
      </w:r>
      <w:r w:rsidR="00E338DA" w:rsidRPr="00381CE7">
        <w:rPr>
          <w:rFonts w:ascii="Cambria" w:eastAsia="Times New Roman" w:hAnsi="Cambria" w:cs="Times New Roman"/>
          <w:color w:val="000000"/>
        </w:rPr>
        <w:t>-</w:t>
      </w:r>
      <w:r w:rsidR="00311747" w:rsidRPr="00381047">
        <w:rPr>
          <w:rFonts w:ascii="Cambria" w:eastAsia="Times New Roman" w:hAnsi="Cambria" w:cs="Times New Roman"/>
          <w:color w:val="000000"/>
        </w:rPr>
        <w:t xml:space="preserve">sharing capabilities </w:t>
      </w:r>
      <w:r w:rsidRPr="00381047">
        <w:rPr>
          <w:rFonts w:ascii="Cambria" w:eastAsia="Times New Roman" w:hAnsi="Cambria" w:cs="Times New Roman"/>
          <w:color w:val="000000"/>
        </w:rPr>
        <w:t>a</w:t>
      </w:r>
      <w:r w:rsidR="00311747" w:rsidRPr="00381047">
        <w:rPr>
          <w:rFonts w:ascii="Cambria" w:eastAsia="Times New Roman" w:hAnsi="Cambria" w:cs="Times New Roman"/>
          <w:color w:val="000000"/>
        </w:rPr>
        <w:t>s compared to</w:t>
      </w:r>
      <w:r w:rsidRPr="00381047">
        <w:rPr>
          <w:rFonts w:ascii="Cambria" w:eastAsia="Times New Roman" w:hAnsi="Cambria" w:cs="Times New Roman"/>
          <w:color w:val="000000"/>
        </w:rPr>
        <w:t xml:space="preserve"> us</w:t>
      </w:r>
      <w:r w:rsidR="00311747" w:rsidRPr="00381047">
        <w:rPr>
          <w:rFonts w:ascii="Cambria" w:eastAsia="Times New Roman" w:hAnsi="Cambria" w:cs="Times New Roman"/>
          <w:color w:val="000000"/>
        </w:rPr>
        <w:t>e of</w:t>
      </w:r>
      <w:r w:rsidRPr="00381047">
        <w:rPr>
          <w:rFonts w:ascii="Cambria" w:eastAsia="Times New Roman" w:hAnsi="Cambria" w:cs="Times New Roman"/>
          <w:color w:val="000000"/>
        </w:rPr>
        <w:t xml:space="preserve"> video but no screen</w:t>
      </w:r>
      <w:r w:rsidR="00E338DA" w:rsidRPr="00381047">
        <w:rPr>
          <w:rFonts w:ascii="Cambria" w:eastAsia="Times New Roman" w:hAnsi="Cambria" w:cs="Times New Roman"/>
          <w:color w:val="000000"/>
        </w:rPr>
        <w:t>-</w:t>
      </w:r>
      <w:r w:rsidRPr="00381047">
        <w:rPr>
          <w:rFonts w:ascii="Cambria" w:eastAsia="Times New Roman" w:hAnsi="Cambria" w:cs="Times New Roman"/>
          <w:color w:val="000000"/>
        </w:rPr>
        <w:t>sharing capabilities</w:t>
      </w:r>
      <w:r w:rsidR="00311747" w:rsidRPr="00381047">
        <w:rPr>
          <w:rFonts w:ascii="Cambria" w:eastAsia="Times New Roman" w:hAnsi="Cambria" w:cs="Times New Roman"/>
          <w:color w:val="000000"/>
        </w:rPr>
        <w:t xml:space="preserve"> via a tele</w:t>
      </w:r>
      <w:r w:rsidR="00A53B4A" w:rsidRPr="00381047">
        <w:rPr>
          <w:rFonts w:ascii="Cambria" w:eastAsia="Times New Roman" w:hAnsi="Cambria" w:cs="Times New Roman"/>
          <w:color w:val="000000"/>
        </w:rPr>
        <w:t xml:space="preserve">conferencing </w:t>
      </w:r>
      <w:r w:rsidR="00311747" w:rsidRPr="00381047">
        <w:rPr>
          <w:rFonts w:ascii="Cambria" w:eastAsia="Times New Roman" w:hAnsi="Cambria" w:cs="Times New Roman"/>
          <w:color w:val="000000"/>
        </w:rPr>
        <w:t>platform to facilitate pre- and post-test</w:t>
      </w:r>
      <w:r w:rsidR="009A3FA9" w:rsidRPr="00381047">
        <w:rPr>
          <w:rFonts w:ascii="Cambria" w:eastAsia="Times New Roman" w:hAnsi="Cambria" w:cs="Times New Roman"/>
          <w:color w:val="000000"/>
        </w:rPr>
        <w:t xml:space="preserve"> </w:t>
      </w:r>
      <w:r w:rsidR="00311747" w:rsidRPr="00381047">
        <w:rPr>
          <w:rFonts w:ascii="Cambria" w:eastAsia="Times New Roman" w:hAnsi="Cambria" w:cs="Times New Roman"/>
          <w:color w:val="000000"/>
        </w:rPr>
        <w:t>counseling</w:t>
      </w:r>
      <w:r w:rsidR="009A3FA9" w:rsidRPr="00381047">
        <w:rPr>
          <w:rFonts w:ascii="Cambria" w:eastAsia="Times New Roman" w:hAnsi="Cambria" w:cs="Times New Roman"/>
          <w:color w:val="000000"/>
        </w:rPr>
        <w:t xml:space="preserve"> for WGS</w:t>
      </w:r>
      <w:r w:rsidRPr="00381047">
        <w:rPr>
          <w:rFonts w:ascii="Cambria" w:eastAsia="Times New Roman" w:hAnsi="Cambria" w:cs="Times New Roman"/>
          <w:color w:val="000000"/>
        </w:rPr>
        <w:t>. The study will occur in the context of our performing WGS</w:t>
      </w:r>
      <w:r w:rsidRPr="00220863">
        <w:rPr>
          <w:rFonts w:ascii="Cambria" w:eastAsia="Times New Roman" w:hAnsi="Cambria" w:cs="Times New Roman"/>
          <w:color w:val="000000"/>
        </w:rPr>
        <w:t xml:space="preserve"> for diagnostic purposes in </w:t>
      </w:r>
      <w:r w:rsidR="000A35AB" w:rsidRPr="00485E38">
        <w:rPr>
          <w:rFonts w:ascii="Cambria" w:eastAsia="Times New Roman" w:hAnsi="Cambria" w:cs="Times New Roman"/>
          <w:color w:val="000000"/>
        </w:rPr>
        <w:t xml:space="preserve">approximately </w:t>
      </w:r>
      <w:r w:rsidR="006E697E" w:rsidRPr="00485E38">
        <w:rPr>
          <w:rFonts w:ascii="Cambria" w:eastAsia="Times New Roman" w:hAnsi="Cambria" w:cs="Times New Roman"/>
          <w:color w:val="000000"/>
        </w:rPr>
        <w:t>500</w:t>
      </w:r>
      <w:r w:rsidRPr="00485E38">
        <w:rPr>
          <w:rFonts w:ascii="Cambria" w:eastAsia="Times New Roman" w:hAnsi="Cambria" w:cs="Times New Roman"/>
          <w:color w:val="000000"/>
        </w:rPr>
        <w:t xml:space="preserve"> children in an effort to assess clinical utility. Children and young adults with specific disorders (see Section II.c.) will be recruited from MS</w:t>
      </w:r>
      <w:r w:rsidR="000A35AB"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EM</w:t>
      </w:r>
      <w:r w:rsidR="000A35AB" w:rsidRPr="00485E38">
        <w:rPr>
          <w:rFonts w:ascii="Cambria" w:eastAsia="Times New Roman" w:hAnsi="Cambria" w:cs="Times New Roman"/>
          <w:color w:val="000000"/>
        </w:rPr>
        <w:t>, and other specialty providers</w:t>
      </w:r>
      <w:r w:rsidRPr="00485E38">
        <w:rPr>
          <w:rFonts w:ascii="Cambria" w:eastAsia="Times New Roman" w:hAnsi="Cambria" w:cs="Times New Roman"/>
          <w:color w:val="000000"/>
        </w:rPr>
        <w:t>.</w:t>
      </w:r>
    </w:p>
    <w:p w14:paraId="54BCA71E" w14:textId="638F1D3A"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w:t>
      </w:r>
    </w:p>
    <w:p w14:paraId="2CEA6F1B" w14:textId="27ED1566" w:rsidR="00A95DF0" w:rsidRPr="00020C67" w:rsidRDefault="00A95DF0" w:rsidP="00020C67">
      <w:pPr>
        <w:numPr>
          <w:ilvl w:val="0"/>
          <w:numId w:val="3"/>
        </w:numPr>
        <w:spacing w:after="120" w:line="240" w:lineRule="auto"/>
        <w:jc w:val="both"/>
        <w:textAlignment w:val="baseline"/>
        <w:rPr>
          <w:rFonts w:ascii="Cambria" w:eastAsia="Times New Roman" w:hAnsi="Cambria" w:cs="Times New Roman"/>
        </w:rPr>
      </w:pPr>
      <w:r w:rsidRPr="009D7DDD">
        <w:rPr>
          <w:rFonts w:ascii="Cambria" w:eastAsia="Times New Roman" w:hAnsi="Cambria" w:cs="Times New Roman"/>
          <w:b/>
          <w:bCs/>
          <w:color w:val="000000"/>
        </w:rPr>
        <w:t>Study Procedures</w:t>
      </w:r>
    </w:p>
    <w:p w14:paraId="38B53341" w14:textId="77777777" w:rsidR="00A95DF0" w:rsidRPr="00020C67" w:rsidRDefault="00A95DF0" w:rsidP="00020C67">
      <w:pPr>
        <w:spacing w:after="0" w:line="240" w:lineRule="auto"/>
        <w:jc w:val="both"/>
        <w:rPr>
          <w:rFonts w:ascii="Cambria" w:eastAsia="Times New Roman" w:hAnsi="Cambria" w:cs="Times New Roman"/>
        </w:rPr>
      </w:pPr>
    </w:p>
    <w:p w14:paraId="1A7C134A" w14:textId="77777777" w:rsidR="00A95DF0" w:rsidRPr="00020C67" w:rsidRDefault="00A95DF0" w:rsidP="00020C67">
      <w:pPr>
        <w:spacing w:after="120" w:line="240" w:lineRule="auto"/>
        <w:ind w:right="58"/>
        <w:jc w:val="both"/>
        <w:rPr>
          <w:rFonts w:ascii="Cambria" w:eastAsia="Times New Roman" w:hAnsi="Cambria" w:cs="Times New Roman"/>
        </w:rPr>
      </w:pPr>
      <w:r w:rsidRPr="009D7DDD">
        <w:rPr>
          <w:rFonts w:ascii="Cambria" w:eastAsia="Times New Roman" w:hAnsi="Cambria" w:cs="Times New Roman"/>
          <w:b/>
          <w:bCs/>
          <w:i/>
          <w:iCs/>
          <w:color w:val="000000"/>
        </w:rPr>
        <w:t>III.a. Pre-Screening of referred patient’s eligibility prior to study team contact (HIPAA Waiver)</w:t>
      </w:r>
    </w:p>
    <w:p w14:paraId="24FCCD16" w14:textId="73D47EC7" w:rsidR="00A95DF0" w:rsidRPr="00381047" w:rsidRDefault="009859F0" w:rsidP="00020C67">
      <w:pPr>
        <w:spacing w:after="0" w:line="240" w:lineRule="auto"/>
        <w:jc w:val="both"/>
        <w:rPr>
          <w:rFonts w:ascii="Cambria" w:eastAsia="Times New Roman" w:hAnsi="Cambria" w:cs="Times New Roman"/>
          <w:color w:val="000000"/>
        </w:rPr>
      </w:pPr>
      <w:r w:rsidRPr="009D7DDD">
        <w:rPr>
          <w:rFonts w:ascii="Cambria" w:eastAsia="Times New Roman" w:hAnsi="Cambria" w:cs="Times New Roman"/>
          <w:color w:val="000000"/>
        </w:rPr>
        <w:t>For study subjects recruited from within the EM/MS systems, u</w:t>
      </w:r>
      <w:r w:rsidR="00A95DF0" w:rsidRPr="00381CE7">
        <w:rPr>
          <w:rFonts w:ascii="Cambria" w:eastAsia="Times New Roman" w:hAnsi="Cambria" w:cs="Times New Roman"/>
          <w:color w:val="000000"/>
        </w:rPr>
        <w:t xml:space="preserve">pon receipt of the referral for a potential participant, the study team will review and confirm the child’s eligibility in EPIC prior to contact with the family. Alternatively, study </w:t>
      </w:r>
      <w:r w:rsidR="00381047">
        <w:rPr>
          <w:rFonts w:ascii="Cambria" w:eastAsia="Times New Roman" w:hAnsi="Cambria" w:cs="Times New Roman"/>
          <w:color w:val="000000"/>
        </w:rPr>
        <w:t>CRC</w:t>
      </w:r>
      <w:r w:rsidR="00381047" w:rsidRPr="00381CE7">
        <w:rPr>
          <w:rFonts w:ascii="Cambria" w:eastAsia="Times New Roman" w:hAnsi="Cambria" w:cs="Times New Roman"/>
          <w:color w:val="000000"/>
        </w:rPr>
        <w:t xml:space="preserve">s </w:t>
      </w:r>
      <w:r w:rsidR="00A95DF0" w:rsidRPr="00381CE7">
        <w:rPr>
          <w:rFonts w:ascii="Cambria" w:eastAsia="Times New Roman" w:hAnsi="Cambria" w:cs="Times New Roman"/>
          <w:color w:val="000000"/>
        </w:rPr>
        <w:t>may attend specific clinics after invitatio</w:t>
      </w:r>
      <w:r w:rsidR="00A95DF0" w:rsidRPr="00381047">
        <w:rPr>
          <w:rFonts w:ascii="Cambria" w:eastAsia="Times New Roman" w:hAnsi="Cambria" w:cs="Times New Roman"/>
          <w:color w:val="000000"/>
        </w:rPr>
        <w:t>n by the clinics’ physician. The study physicians, physician colleagues (</w:t>
      </w:r>
      <w:r w:rsidR="00A95DF0" w:rsidRPr="00381047">
        <w:rPr>
          <w:rFonts w:ascii="Cambria" w:eastAsia="Times New Roman" w:hAnsi="Cambria" w:cs="Times New Roman"/>
          <w:i/>
          <w:iCs/>
          <w:color w:val="000000"/>
        </w:rPr>
        <w:t>i.e</w:t>
      </w:r>
      <w:r w:rsidR="00A95DF0" w:rsidRPr="00381047">
        <w:rPr>
          <w:rFonts w:ascii="Cambria" w:eastAsia="Times New Roman" w:hAnsi="Cambria" w:cs="Times New Roman"/>
          <w:color w:val="000000"/>
        </w:rPr>
        <w:t xml:space="preserve">., treating physicians), and/or nursing staff will provide the </w:t>
      </w:r>
      <w:r w:rsidR="00381047">
        <w:rPr>
          <w:rFonts w:ascii="Cambria" w:eastAsia="Times New Roman" w:hAnsi="Cambria" w:cs="Times New Roman"/>
          <w:color w:val="000000"/>
        </w:rPr>
        <w:t>CRC</w:t>
      </w:r>
      <w:r w:rsidR="00381047" w:rsidRPr="00381047">
        <w:rPr>
          <w:rFonts w:ascii="Cambria" w:eastAsia="Times New Roman" w:hAnsi="Cambria" w:cs="Times New Roman"/>
          <w:color w:val="000000"/>
        </w:rPr>
        <w:t xml:space="preserve">s </w:t>
      </w:r>
      <w:r w:rsidR="00A95DF0" w:rsidRPr="00381047">
        <w:rPr>
          <w:rFonts w:ascii="Cambria" w:eastAsia="Times New Roman" w:hAnsi="Cambria" w:cs="Times New Roman"/>
          <w:color w:val="000000"/>
        </w:rPr>
        <w:t xml:space="preserve">with a list of patients scheduled for the day or week who they deem to be potential </w:t>
      </w:r>
      <w:r w:rsidR="00B1673B" w:rsidRPr="00381047">
        <w:rPr>
          <w:rFonts w:ascii="Cambria" w:eastAsia="Times New Roman" w:hAnsi="Cambria" w:cs="Times New Roman"/>
          <w:color w:val="000000"/>
        </w:rPr>
        <w:t>Tele</w:t>
      </w:r>
      <w:r w:rsidR="00A95DF0" w:rsidRPr="00381047">
        <w:rPr>
          <w:rFonts w:ascii="Cambria" w:eastAsia="Times New Roman" w:hAnsi="Cambria" w:cs="Times New Roman"/>
          <w:color w:val="000000"/>
        </w:rPr>
        <w:t>KidSeq participants. The study team member (</w:t>
      </w:r>
      <w:r w:rsidR="00381047">
        <w:rPr>
          <w:rFonts w:ascii="Cambria" w:eastAsia="Times New Roman" w:hAnsi="Cambria" w:cs="Times New Roman"/>
          <w:color w:val="000000"/>
        </w:rPr>
        <w:t>CRC or GC</w:t>
      </w:r>
      <w:r w:rsidR="00A95DF0" w:rsidRPr="00381047">
        <w:rPr>
          <w:rFonts w:ascii="Cambria" w:eastAsia="Times New Roman" w:hAnsi="Cambria" w:cs="Times New Roman"/>
          <w:color w:val="000000"/>
        </w:rPr>
        <w:t xml:space="preserve">) will enter and review the patients’ medical records to check if they meet inclusion and exclusion criteria. If a patient does fulfill criteria, the </w:t>
      </w:r>
      <w:r w:rsidR="00381047">
        <w:rPr>
          <w:rFonts w:ascii="Cambria" w:eastAsia="Times New Roman" w:hAnsi="Cambria" w:cs="Times New Roman"/>
          <w:color w:val="000000"/>
        </w:rPr>
        <w:t>CRC</w:t>
      </w:r>
      <w:r w:rsidR="00381047" w:rsidRPr="00381047">
        <w:rPr>
          <w:rFonts w:ascii="Cambria" w:eastAsia="Times New Roman" w:hAnsi="Cambria" w:cs="Times New Roman"/>
          <w:color w:val="000000"/>
        </w:rPr>
        <w:t xml:space="preserve">s </w:t>
      </w:r>
      <w:r w:rsidR="00A95DF0" w:rsidRPr="00381047">
        <w:rPr>
          <w:rFonts w:ascii="Cambria" w:eastAsia="Times New Roman" w:hAnsi="Cambria" w:cs="Times New Roman"/>
          <w:color w:val="000000"/>
        </w:rPr>
        <w:t xml:space="preserve">will notify the physicians prior to the scheduled appointment.  With the study physicians’ permission, study </w:t>
      </w:r>
      <w:r w:rsidR="00381047">
        <w:rPr>
          <w:rFonts w:ascii="Cambria" w:eastAsia="Times New Roman" w:hAnsi="Cambria" w:cs="Times New Roman"/>
          <w:color w:val="000000"/>
        </w:rPr>
        <w:t xml:space="preserve">GCs </w:t>
      </w:r>
      <w:r w:rsidR="00A95DF0" w:rsidRPr="00381047">
        <w:rPr>
          <w:rFonts w:ascii="Cambria" w:eastAsia="Times New Roman" w:hAnsi="Cambria" w:cs="Times New Roman"/>
          <w:color w:val="000000"/>
        </w:rPr>
        <w:t>may also pre-screen a physicians’ clinic schedule one week before the scheduled clinic day on E</w:t>
      </w:r>
      <w:r w:rsidR="000A35AB" w:rsidRPr="00381047">
        <w:rPr>
          <w:rFonts w:ascii="Cambria" w:eastAsia="Times New Roman" w:hAnsi="Cambria" w:cs="Times New Roman"/>
          <w:color w:val="000000"/>
        </w:rPr>
        <w:t>PIC</w:t>
      </w:r>
      <w:r w:rsidR="00A95DF0" w:rsidRPr="00381047">
        <w:rPr>
          <w:rFonts w:ascii="Cambria" w:eastAsia="Times New Roman" w:hAnsi="Cambria" w:cs="Times New Roman"/>
          <w:color w:val="000000"/>
        </w:rPr>
        <w:t xml:space="preserve"> to review patients’ medical records to see if they meet inclusion and exclusion criteria and, in this way, identify potentially eligible patients prior to their visit.</w:t>
      </w:r>
    </w:p>
    <w:p w14:paraId="5ACA3BDD" w14:textId="77777777" w:rsidR="009859F0" w:rsidRPr="00485E38" w:rsidRDefault="009859F0" w:rsidP="00020C67">
      <w:pPr>
        <w:spacing w:after="0" w:line="240" w:lineRule="auto"/>
        <w:jc w:val="both"/>
        <w:rPr>
          <w:rFonts w:ascii="Cambria" w:eastAsia="Times New Roman" w:hAnsi="Cambria" w:cs="Times New Roman"/>
          <w:color w:val="000000"/>
        </w:rPr>
      </w:pPr>
    </w:p>
    <w:p w14:paraId="1D8DB2FB" w14:textId="3A10805E" w:rsidR="00B153AC" w:rsidRPr="00485E38" w:rsidRDefault="00B153AC" w:rsidP="00020C67">
      <w:pPr>
        <w:spacing w:after="0" w:line="240" w:lineRule="auto"/>
        <w:jc w:val="both"/>
        <w:rPr>
          <w:rFonts w:ascii="Cambria" w:eastAsia="Times New Roman" w:hAnsi="Cambria" w:cs="Times New Roman"/>
          <w:color w:val="000000"/>
        </w:rPr>
      </w:pPr>
      <w:r w:rsidRPr="00485E38">
        <w:rPr>
          <w:rFonts w:ascii="Cambria" w:eastAsia="Times New Roman" w:hAnsi="Cambria" w:cs="Times New Roman"/>
          <w:color w:val="000000"/>
        </w:rPr>
        <w:t xml:space="preserve">For study subjects who are referred to the study by specialists external to the MS/EM systems, study </w:t>
      </w:r>
      <w:r w:rsidR="00381047">
        <w:rPr>
          <w:rFonts w:ascii="Cambria" w:eastAsia="Times New Roman" w:hAnsi="Cambria" w:cs="Times New Roman"/>
          <w:color w:val="000000"/>
        </w:rPr>
        <w:t>CRC</w:t>
      </w:r>
      <w:r w:rsidR="00381047" w:rsidRPr="00381047">
        <w:rPr>
          <w:rFonts w:ascii="Cambria" w:eastAsia="Times New Roman" w:hAnsi="Cambria" w:cs="Times New Roman"/>
          <w:color w:val="000000"/>
        </w:rPr>
        <w:t xml:space="preserve">s </w:t>
      </w:r>
      <w:r w:rsidRPr="00381047">
        <w:rPr>
          <w:rFonts w:ascii="Cambria" w:eastAsia="Times New Roman" w:hAnsi="Cambria" w:cs="Times New Roman"/>
          <w:color w:val="000000"/>
        </w:rPr>
        <w:t>will perform eligibility screening via phone or in-person with potential TeleKidSeq participants. The role of physicians, physician colleagues (</w:t>
      </w:r>
      <w:r w:rsidRPr="00485E38">
        <w:rPr>
          <w:rFonts w:ascii="Cambria" w:eastAsia="Times New Roman" w:hAnsi="Cambria" w:cs="Times New Roman"/>
          <w:i/>
          <w:iCs/>
          <w:color w:val="000000"/>
        </w:rPr>
        <w:t>i.e</w:t>
      </w:r>
      <w:r w:rsidRPr="00485E38">
        <w:rPr>
          <w:rFonts w:ascii="Cambria" w:eastAsia="Times New Roman" w:hAnsi="Cambria" w:cs="Times New Roman"/>
          <w:color w:val="000000"/>
        </w:rPr>
        <w:t>., treating physicians), and/or nursing staff at external sites will be restricted to informing prospective subjects about the availability of the study and/or providing information about study. </w:t>
      </w:r>
    </w:p>
    <w:p w14:paraId="1154783F" w14:textId="77777777" w:rsidR="00A95DF0" w:rsidRPr="00020C67" w:rsidRDefault="00A95DF0" w:rsidP="00020C67">
      <w:pPr>
        <w:spacing w:after="0" w:line="240" w:lineRule="auto"/>
        <w:jc w:val="both"/>
        <w:rPr>
          <w:rFonts w:ascii="Cambria" w:eastAsia="Times New Roman" w:hAnsi="Cambria" w:cs="Times New Roman"/>
        </w:rPr>
      </w:pPr>
    </w:p>
    <w:p w14:paraId="7095C5A7" w14:textId="5D0B4FBF"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The physicians will then introduce the study to the family. If they are interested and agree to be contacted by the study team, the child’s MRN and phenotype checklist (Appendix </w:t>
      </w:r>
      <w:r w:rsidR="00020C67">
        <w:rPr>
          <w:rFonts w:ascii="Cambria" w:eastAsia="Times New Roman" w:hAnsi="Cambria" w:cs="Times New Roman"/>
          <w:color w:val="000000"/>
        </w:rPr>
        <w:t>s</w:t>
      </w:r>
      <w:r w:rsidRPr="00381CE7">
        <w:rPr>
          <w:rFonts w:ascii="Cambria" w:eastAsia="Times New Roman" w:hAnsi="Cambria" w:cs="Times New Roman"/>
          <w:color w:val="000000"/>
        </w:rPr>
        <w:t>. ‘Physician phenotyp</w:t>
      </w:r>
      <w:r w:rsidRPr="00485E38">
        <w:rPr>
          <w:rFonts w:ascii="Cambria" w:eastAsia="Times New Roman" w:hAnsi="Cambria" w:cs="Times New Roman"/>
          <w:color w:val="000000"/>
        </w:rPr>
        <w:t xml:space="preserve">e checklist’) will securely be sent to the study team </w:t>
      </w:r>
      <w:r w:rsidRPr="00485E38">
        <w:rPr>
          <w:rFonts w:ascii="Cambria" w:eastAsia="Times New Roman" w:hAnsi="Cambria" w:cs="Times New Roman"/>
          <w:i/>
          <w:iCs/>
          <w:color w:val="000000"/>
        </w:rPr>
        <w:t>(see ‘Recruitment’ Section V.a.)</w:t>
      </w:r>
      <w:r w:rsidRPr="00485E38">
        <w:rPr>
          <w:rFonts w:ascii="Cambria" w:eastAsia="Times New Roman" w:hAnsi="Cambria" w:cs="Times New Roman"/>
          <w:color w:val="000000"/>
        </w:rPr>
        <w:t>. Phenotype checklists may be completed in printed form, electronic (PDF) form, or included as part of the patient’s chart note in EPIC. The CRC will review the referred child’s pre-screening Inclusion and Exclusion criteria in EPIC and input minimal data points (</w:t>
      </w:r>
      <w:r w:rsidRPr="00485E38">
        <w:rPr>
          <w:rFonts w:ascii="Cambria" w:eastAsia="Times New Roman" w:hAnsi="Cambria" w:cs="Times New Roman"/>
          <w:i/>
          <w:iCs/>
          <w:color w:val="000000"/>
        </w:rPr>
        <w:t>e.g</w:t>
      </w:r>
      <w:r w:rsidRPr="00485E38">
        <w:rPr>
          <w:rFonts w:ascii="Cambria" w:eastAsia="Times New Roman" w:hAnsi="Cambria" w:cs="Times New Roman"/>
          <w:color w:val="000000"/>
        </w:rPr>
        <w:t>., age, race/ethnicity, prior genetic testing time/result, language, and phenotype) into REDCap under a recruitment study ID.  </w:t>
      </w:r>
    </w:p>
    <w:p w14:paraId="3CCC7D6C" w14:textId="77777777" w:rsidR="00A95DF0" w:rsidRPr="00020C67" w:rsidRDefault="00A95DF0" w:rsidP="00020C67">
      <w:pPr>
        <w:spacing w:after="0" w:line="240" w:lineRule="auto"/>
        <w:jc w:val="both"/>
        <w:rPr>
          <w:rFonts w:ascii="Cambria" w:eastAsia="Times New Roman" w:hAnsi="Cambria" w:cs="Times New Roman"/>
        </w:rPr>
      </w:pPr>
    </w:p>
    <w:p w14:paraId="0BF4657D" w14:textId="69C51629" w:rsidR="00A95DF0" w:rsidRPr="00020C67" w:rsidRDefault="00A95DF0" w:rsidP="00020C67">
      <w:pPr>
        <w:spacing w:after="0" w:line="240" w:lineRule="auto"/>
        <w:jc w:val="both"/>
        <w:rPr>
          <w:rFonts w:ascii="Cambria" w:eastAsia="Times New Roman" w:hAnsi="Cambria" w:cs="Times New Roman"/>
          <w:b/>
        </w:rPr>
      </w:pPr>
      <w:r w:rsidRPr="009D7DDD">
        <w:rPr>
          <w:rFonts w:ascii="Cambria" w:eastAsia="Times New Roman" w:hAnsi="Cambria" w:cs="Times New Roman"/>
          <w:color w:val="000000"/>
        </w:rPr>
        <w:t>If approved, the CRC will contact the family (in-person or by phone) to discuss th</w:t>
      </w:r>
      <w:r w:rsidRPr="00381CE7">
        <w:rPr>
          <w:rFonts w:ascii="Cambria" w:eastAsia="Times New Roman" w:hAnsi="Cambria" w:cs="Times New Roman"/>
          <w:color w:val="000000"/>
        </w:rPr>
        <w:t>e study and answer questions, review and re-confirm eligibility (</w:t>
      </w:r>
      <w:r w:rsidRPr="00485E38">
        <w:rPr>
          <w:rFonts w:ascii="Cambria" w:eastAsia="Times New Roman" w:hAnsi="Cambria" w:cs="Times New Roman"/>
          <w:i/>
          <w:iCs/>
          <w:color w:val="000000"/>
        </w:rPr>
        <w:t>e.g</w:t>
      </w:r>
      <w:r w:rsidRPr="00485E38">
        <w:rPr>
          <w:rFonts w:ascii="Cambria" w:eastAsia="Times New Roman" w:hAnsi="Cambria" w:cs="Times New Roman"/>
          <w:color w:val="000000"/>
        </w:rPr>
        <w:t>., parents have not participated in genomic testing and/or counseling within 3-months, English- or Spanish-speaking, available for study visits), and determine level of interest (</w:t>
      </w:r>
      <w:r w:rsidRPr="00485E38">
        <w:rPr>
          <w:rFonts w:ascii="Cambria" w:eastAsia="Times New Roman" w:hAnsi="Cambria" w:cs="Times New Roman"/>
          <w:i/>
          <w:iCs/>
          <w:color w:val="000000"/>
        </w:rPr>
        <w:t>e.g</w:t>
      </w:r>
      <w:r w:rsidRPr="00485E38">
        <w:rPr>
          <w:rFonts w:ascii="Cambria" w:eastAsia="Times New Roman" w:hAnsi="Cambria" w:cs="Times New Roman"/>
          <w:color w:val="000000"/>
        </w:rPr>
        <w:t xml:space="preserve">., administer baseline consent (phone), schedule visit to review baseline consent/survey (phone), and/or administer decliner survey) (see ‘Recruitment Scripts’ Appendix </w:t>
      </w:r>
      <w:r w:rsidR="00020C67">
        <w:rPr>
          <w:rFonts w:ascii="Cambria" w:eastAsia="Times New Roman" w:hAnsi="Cambria" w:cs="Times New Roman"/>
          <w:color w:val="000000"/>
        </w:rPr>
        <w:t>f</w:t>
      </w:r>
      <w:r w:rsidRPr="00485E38">
        <w:rPr>
          <w:rFonts w:ascii="Cambria" w:eastAsia="Times New Roman" w:hAnsi="Cambria" w:cs="Times New Roman"/>
          <w:color w:val="000000"/>
        </w:rPr>
        <w:t xml:space="preserve"> and </w:t>
      </w:r>
      <w:r w:rsidR="00020C67">
        <w:rPr>
          <w:rFonts w:ascii="Cambria" w:eastAsia="Times New Roman" w:hAnsi="Cambria" w:cs="Times New Roman"/>
          <w:color w:val="000000"/>
        </w:rPr>
        <w:t>g</w:t>
      </w:r>
      <w:r w:rsidRPr="00485E38">
        <w:rPr>
          <w:rFonts w:ascii="Cambria" w:eastAsia="Times New Roman" w:hAnsi="Cambria" w:cs="Times New Roman"/>
          <w:color w:val="000000"/>
        </w:rPr>
        <w:t xml:space="preserve">). </w:t>
      </w:r>
      <w:r w:rsidR="00381047">
        <w:rPr>
          <w:rFonts w:ascii="Cambria" w:eastAsia="Times New Roman" w:hAnsi="Cambria" w:cs="Times New Roman"/>
          <w:color w:val="000000"/>
        </w:rPr>
        <w:t>CRC</w:t>
      </w:r>
      <w:r w:rsidR="00381047" w:rsidRPr="00381047">
        <w:rPr>
          <w:rFonts w:ascii="Cambria" w:eastAsia="Times New Roman" w:hAnsi="Cambria" w:cs="Times New Roman"/>
          <w:color w:val="000000"/>
        </w:rPr>
        <w:t xml:space="preserve">s </w:t>
      </w:r>
      <w:r w:rsidRPr="00381047">
        <w:rPr>
          <w:rFonts w:ascii="Cambria" w:eastAsia="Times New Roman" w:hAnsi="Cambria" w:cs="Times New Roman"/>
          <w:color w:val="000000"/>
        </w:rPr>
        <w:t xml:space="preserve">will also administer the </w:t>
      </w:r>
      <w:r w:rsidR="00255333" w:rsidRPr="00381047">
        <w:rPr>
          <w:rFonts w:ascii="Cambria" w:eastAsia="Times New Roman" w:hAnsi="Cambria" w:cs="Times New Roman"/>
          <w:color w:val="000000"/>
        </w:rPr>
        <w:t>“</w:t>
      </w:r>
      <w:r w:rsidRPr="00381047">
        <w:rPr>
          <w:rFonts w:ascii="Cambria" w:eastAsia="Times New Roman" w:hAnsi="Cambria" w:cs="Times New Roman"/>
          <w:color w:val="000000"/>
        </w:rPr>
        <w:t>Telehealth Access</w:t>
      </w:r>
      <w:r w:rsidR="00255333" w:rsidRPr="00381047">
        <w:rPr>
          <w:rFonts w:ascii="Cambria" w:eastAsia="Times New Roman" w:hAnsi="Cambria" w:cs="Times New Roman"/>
          <w:color w:val="000000"/>
        </w:rPr>
        <w:t>”</w:t>
      </w:r>
      <w:r w:rsidRPr="00381047">
        <w:rPr>
          <w:rFonts w:ascii="Cambria" w:eastAsia="Times New Roman" w:hAnsi="Cambria" w:cs="Times New Roman"/>
          <w:color w:val="000000"/>
        </w:rPr>
        <w:t xml:space="preserve"> screener (</w:t>
      </w:r>
      <w:r w:rsidR="00255333" w:rsidRPr="00220863">
        <w:rPr>
          <w:rFonts w:ascii="Cambria" w:eastAsia="Times New Roman" w:hAnsi="Cambria" w:cs="Times New Roman"/>
          <w:color w:val="000000"/>
        </w:rPr>
        <w:t xml:space="preserve">Appendix </w:t>
      </w:r>
      <w:r w:rsidR="00020C67">
        <w:rPr>
          <w:rFonts w:ascii="Cambria" w:eastAsia="Times New Roman" w:hAnsi="Cambria" w:cs="Times New Roman"/>
          <w:color w:val="000000"/>
        </w:rPr>
        <w:t>g</w:t>
      </w:r>
      <w:r w:rsidRPr="00485E38">
        <w:rPr>
          <w:rFonts w:ascii="Cambria" w:eastAsia="Times New Roman" w:hAnsi="Cambria" w:cs="Times New Roman"/>
          <w:color w:val="000000"/>
        </w:rPr>
        <w:t xml:space="preserve">) to assess ability and comfort in using telehealth platforms for this study and to evaluate if the child and their biological mother and/or father, if available, are able to provide saliva samples via saliva kit or, if not, </w:t>
      </w:r>
      <w:r w:rsidRPr="00485E38">
        <w:rPr>
          <w:rFonts w:ascii="Cambria" w:eastAsia="Times New Roman" w:hAnsi="Cambria" w:cs="Times New Roman"/>
          <w:color w:val="000000"/>
        </w:rPr>
        <w:lastRenderedPageBreak/>
        <w:t>to provide blood samples using outpatient services within three weeks of signing Informed Consent: Main Study. </w:t>
      </w:r>
      <w:r w:rsidR="006C053D" w:rsidRPr="00485E38">
        <w:rPr>
          <w:rFonts w:ascii="Cambria" w:eastAsia="Times New Roman" w:hAnsi="Cambria" w:cs="Times New Roman"/>
          <w:b/>
          <w:color w:val="000000"/>
        </w:rPr>
        <w:t xml:space="preserve"> </w:t>
      </w:r>
    </w:p>
    <w:p w14:paraId="39E62A4D" w14:textId="77777777" w:rsidR="00A95DF0" w:rsidRPr="00020C67" w:rsidRDefault="00A95DF0" w:rsidP="00020C67">
      <w:pPr>
        <w:spacing w:after="0" w:line="240" w:lineRule="auto"/>
        <w:jc w:val="both"/>
        <w:rPr>
          <w:rFonts w:ascii="Cambria" w:eastAsia="Times New Roman" w:hAnsi="Cambria" w:cs="Times New Roman"/>
        </w:rPr>
      </w:pPr>
    </w:p>
    <w:p w14:paraId="4DF1A729"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If the referral is NOT eligible, the referring physician and family will be informed of the decision. If the family is NOT eligible or declines to participate, the REDCap record </w:t>
      </w:r>
      <w:r w:rsidRPr="00381CE7">
        <w:rPr>
          <w:rFonts w:ascii="Cambria" w:eastAsia="Times New Roman" w:hAnsi="Cambria" w:cs="Times New Roman"/>
          <w:color w:val="000000"/>
        </w:rPr>
        <w:t>will be reviewed and purged of any personal identifiers (e.g., name and MRN). The site-specific project manager will have access to this information in a secure file linking to the recruitment ID. </w:t>
      </w:r>
    </w:p>
    <w:p w14:paraId="4AA6ABE8" w14:textId="77777777" w:rsidR="00A95DF0" w:rsidRPr="00020C67" w:rsidRDefault="00A95DF0" w:rsidP="00020C67">
      <w:pPr>
        <w:spacing w:after="0" w:line="240" w:lineRule="auto"/>
        <w:jc w:val="both"/>
        <w:rPr>
          <w:rFonts w:ascii="Cambria" w:eastAsia="Times New Roman" w:hAnsi="Cambria" w:cs="Times New Roman"/>
        </w:rPr>
      </w:pPr>
    </w:p>
    <w:p w14:paraId="771DBF37" w14:textId="199952C5"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Although the </w:t>
      </w:r>
      <w:r w:rsidR="00381047">
        <w:rPr>
          <w:rFonts w:ascii="Cambria" w:eastAsia="Times New Roman" w:hAnsi="Cambria" w:cs="Times New Roman"/>
          <w:color w:val="000000"/>
        </w:rPr>
        <w:t xml:space="preserve">CRC and GCs </w:t>
      </w:r>
      <w:r w:rsidRPr="009D7DDD">
        <w:rPr>
          <w:rFonts w:ascii="Cambria" w:eastAsia="Times New Roman" w:hAnsi="Cambria" w:cs="Times New Roman"/>
          <w:color w:val="000000"/>
        </w:rPr>
        <w:t>wi</w:t>
      </w:r>
      <w:r w:rsidRPr="00381CE7">
        <w:rPr>
          <w:rFonts w:ascii="Cambria" w:eastAsia="Times New Roman" w:hAnsi="Cambria" w:cs="Times New Roman"/>
          <w:color w:val="000000"/>
        </w:rPr>
        <w:t xml:space="preserve">ll have access to all variables in the charts, sensitive material/variables that are not necessary for this study will not be considered. Once the </w:t>
      </w:r>
      <w:r w:rsidR="00381047">
        <w:rPr>
          <w:rFonts w:ascii="Cambria" w:eastAsia="Times New Roman" w:hAnsi="Cambria" w:cs="Times New Roman"/>
          <w:color w:val="000000"/>
        </w:rPr>
        <w:t xml:space="preserve">CRC/GC </w:t>
      </w:r>
      <w:r w:rsidRPr="00381CE7">
        <w:rPr>
          <w:rFonts w:ascii="Cambria" w:eastAsia="Times New Roman" w:hAnsi="Cambria" w:cs="Times New Roman"/>
          <w:color w:val="000000"/>
        </w:rPr>
        <w:t>has reviewed the pat</w:t>
      </w:r>
      <w:r w:rsidRPr="00381047">
        <w:rPr>
          <w:rFonts w:ascii="Cambria" w:eastAsia="Times New Roman" w:hAnsi="Cambria" w:cs="Times New Roman"/>
          <w:color w:val="000000"/>
        </w:rPr>
        <w:t>ient’s eligibility, the patient’s medical record will be closed. The purpose of pre-screening through accessing the medical record and viewing relevant clinical information is to not burden the patients’ family who would not be eligible for the study. </w:t>
      </w:r>
    </w:p>
    <w:p w14:paraId="4B3D9C50" w14:textId="77777777" w:rsidR="00A95DF0" w:rsidRPr="00020C67" w:rsidRDefault="00A95DF0" w:rsidP="00020C67">
      <w:pPr>
        <w:spacing w:after="0" w:line="240" w:lineRule="auto"/>
        <w:jc w:val="both"/>
        <w:rPr>
          <w:rFonts w:ascii="Cambria" w:eastAsia="Times New Roman" w:hAnsi="Cambria" w:cs="Times New Roman"/>
        </w:rPr>
      </w:pPr>
    </w:p>
    <w:p w14:paraId="15A2824E"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This study could not be practicably carried out withou</w:t>
      </w:r>
      <w:r w:rsidRPr="00381CE7">
        <w:rPr>
          <w:rFonts w:ascii="Cambria" w:eastAsia="Times New Roman" w:hAnsi="Cambria" w:cs="Times New Roman"/>
          <w:color w:val="000000"/>
        </w:rPr>
        <w:t>t this waiver as patients being recruited may be unsure of genomic testing eligibility criteria due to the nature of these conditions’ complicated etiology. Therefore, we need to look into the child's med</w:t>
      </w:r>
      <w:r w:rsidRPr="00485E38">
        <w:rPr>
          <w:rFonts w:ascii="Cambria" w:eastAsia="Times New Roman" w:hAnsi="Cambria" w:cs="Times New Roman"/>
          <w:color w:val="000000"/>
        </w:rPr>
        <w:t>ical record to ensure this information is correct. We would like to minimize stress on the parents due to the nature of their child's disorder, and minimize the risk that they are introduced to a study for which they may not be eligible.</w:t>
      </w:r>
    </w:p>
    <w:p w14:paraId="166DAAA1" w14:textId="77777777" w:rsidR="00A95DF0" w:rsidRPr="00020C67" w:rsidRDefault="00A95DF0" w:rsidP="00020C67">
      <w:pPr>
        <w:spacing w:after="0" w:line="240" w:lineRule="auto"/>
        <w:jc w:val="both"/>
        <w:rPr>
          <w:rFonts w:ascii="Cambria" w:eastAsia="Times New Roman" w:hAnsi="Cambria" w:cs="Times New Roman"/>
        </w:rPr>
      </w:pPr>
    </w:p>
    <w:p w14:paraId="08379020" w14:textId="77777777" w:rsidR="00A95DF0" w:rsidRPr="00020C67" w:rsidRDefault="00A95DF0" w:rsidP="00020C67">
      <w:pPr>
        <w:spacing w:after="0" w:line="240" w:lineRule="auto"/>
        <w:ind w:right="58"/>
        <w:jc w:val="both"/>
        <w:rPr>
          <w:rFonts w:ascii="Cambria" w:eastAsia="Times New Roman" w:hAnsi="Cambria" w:cs="Times New Roman"/>
        </w:rPr>
      </w:pPr>
      <w:r w:rsidRPr="009D7DDD">
        <w:rPr>
          <w:rFonts w:ascii="Cambria" w:eastAsia="Times New Roman" w:hAnsi="Cambria" w:cs="Times New Roman"/>
          <w:b/>
          <w:bCs/>
          <w:i/>
          <w:iCs/>
          <w:color w:val="000000"/>
        </w:rPr>
        <w:t>III.b. Randomization and Baseline Survey</w:t>
      </w:r>
    </w:p>
    <w:p w14:paraId="56A0C07D" w14:textId="455C2670" w:rsidR="00A95DF0" w:rsidRPr="00020C67" w:rsidRDefault="00A95DF0" w:rsidP="00020C67">
      <w:pPr>
        <w:spacing w:before="120" w:after="0" w:line="240" w:lineRule="auto"/>
        <w:ind w:right="58"/>
        <w:jc w:val="both"/>
        <w:rPr>
          <w:rFonts w:ascii="Cambria" w:eastAsia="Times New Roman" w:hAnsi="Cambria" w:cs="Times New Roman"/>
        </w:rPr>
      </w:pPr>
      <w:r w:rsidRPr="009D7DDD">
        <w:rPr>
          <w:rFonts w:ascii="Cambria" w:eastAsia="Times New Roman" w:hAnsi="Cambria" w:cs="Times New Roman"/>
          <w:b/>
          <w:bCs/>
          <w:color w:val="000000"/>
          <w:u w:val="single"/>
        </w:rPr>
        <w:t>Randomization into Tele</w:t>
      </w:r>
      <w:r w:rsidR="00A53B4A" w:rsidRPr="00381CE7">
        <w:rPr>
          <w:rFonts w:ascii="Cambria" w:eastAsia="Times New Roman" w:hAnsi="Cambria" w:cs="Times New Roman"/>
          <w:b/>
          <w:bCs/>
          <w:color w:val="000000"/>
          <w:u w:val="single"/>
        </w:rPr>
        <w:t>health</w:t>
      </w:r>
      <w:r w:rsidRPr="00381CE7">
        <w:rPr>
          <w:rFonts w:ascii="Cambria" w:eastAsia="Times New Roman" w:hAnsi="Cambria" w:cs="Times New Roman"/>
          <w:b/>
          <w:bCs/>
          <w:color w:val="000000"/>
          <w:u w:val="single"/>
        </w:rPr>
        <w:t xml:space="preserve"> with Screen Sharing or Tele</w:t>
      </w:r>
      <w:r w:rsidR="00A53B4A" w:rsidRPr="00381CE7">
        <w:rPr>
          <w:rFonts w:ascii="Cambria" w:eastAsia="Times New Roman" w:hAnsi="Cambria" w:cs="Times New Roman"/>
          <w:b/>
          <w:bCs/>
          <w:color w:val="000000"/>
          <w:u w:val="single"/>
        </w:rPr>
        <w:t>health</w:t>
      </w:r>
      <w:r w:rsidRPr="00381CE7">
        <w:rPr>
          <w:rFonts w:ascii="Cambria" w:eastAsia="Times New Roman" w:hAnsi="Cambria" w:cs="Times New Roman"/>
          <w:b/>
          <w:bCs/>
          <w:color w:val="000000"/>
          <w:u w:val="single"/>
        </w:rPr>
        <w:t xml:space="preserve"> without Screen Sharing</w:t>
      </w:r>
    </w:p>
    <w:p w14:paraId="70056355" w14:textId="5BD85BA9" w:rsidR="00A95DF0" w:rsidRPr="00020C67" w:rsidRDefault="00A95DF0" w:rsidP="00020C67">
      <w:pPr>
        <w:spacing w:before="120" w:after="0" w:line="240" w:lineRule="auto"/>
        <w:ind w:right="58"/>
        <w:jc w:val="both"/>
        <w:rPr>
          <w:rFonts w:ascii="Cambria" w:eastAsia="Times New Roman" w:hAnsi="Cambria" w:cs="Times New Roman"/>
        </w:rPr>
      </w:pPr>
      <w:r w:rsidRPr="009D7DDD">
        <w:rPr>
          <w:rFonts w:ascii="Cambria" w:eastAsia="Times New Roman" w:hAnsi="Cambria" w:cs="Times New Roman"/>
          <w:color w:val="000000"/>
        </w:rPr>
        <w:t>Families that agree to participate after the initial discussion with the CRC (see Sec III.a.) will be scheduled for their baseline visit. They will, at this time (</w:t>
      </w:r>
      <w:r w:rsidRPr="00381CE7">
        <w:rPr>
          <w:rFonts w:ascii="Cambria" w:eastAsia="Times New Roman" w:hAnsi="Cambria" w:cs="Times New Roman"/>
          <w:i/>
          <w:iCs/>
          <w:color w:val="000000"/>
        </w:rPr>
        <w:t>i.e</w:t>
      </w:r>
      <w:r w:rsidRPr="00381CE7">
        <w:rPr>
          <w:rFonts w:ascii="Cambria" w:eastAsia="Times New Roman" w:hAnsi="Cambria" w:cs="Times New Roman"/>
          <w:color w:val="000000"/>
        </w:rPr>
        <w:t>., prior to signing Informed Consent: Baseline Survey), be randomized to participate in either the (1) Tele</w:t>
      </w:r>
      <w:r w:rsidR="00A53B4A" w:rsidRPr="00485E38">
        <w:rPr>
          <w:rFonts w:ascii="Cambria" w:eastAsia="Times New Roman" w:hAnsi="Cambria" w:cs="Times New Roman"/>
          <w:color w:val="000000"/>
        </w:rPr>
        <w:t>health</w:t>
      </w:r>
      <w:r w:rsidRPr="00485E38">
        <w:rPr>
          <w:rFonts w:ascii="Cambria" w:eastAsia="Times New Roman" w:hAnsi="Cambria" w:cs="Times New Roman"/>
          <w:color w:val="000000"/>
        </w:rPr>
        <w:t xml:space="preserve"> With Screen Sharing arm or (2) Tele</w:t>
      </w:r>
      <w:r w:rsidR="00A53B4A" w:rsidRPr="00485E38">
        <w:rPr>
          <w:rFonts w:ascii="Cambria" w:eastAsia="Times New Roman" w:hAnsi="Cambria" w:cs="Times New Roman"/>
          <w:color w:val="000000"/>
        </w:rPr>
        <w:t>health</w:t>
      </w:r>
      <w:r w:rsidRPr="00485E38">
        <w:rPr>
          <w:rFonts w:ascii="Cambria" w:eastAsia="Times New Roman" w:hAnsi="Cambria" w:cs="Times New Roman"/>
          <w:color w:val="000000"/>
        </w:rPr>
        <w:t xml:space="preserve"> Without Screen Sharing arm, using the REDCap randomization tool.</w:t>
      </w:r>
      <w:r w:rsidR="00C40883"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The CRC will tell the parents that the results will be disclosed using Tele</w:t>
      </w:r>
      <w:r w:rsidR="00A53B4A" w:rsidRPr="00485E38">
        <w:rPr>
          <w:rFonts w:ascii="Cambria" w:eastAsia="Times New Roman" w:hAnsi="Cambria" w:cs="Times New Roman"/>
          <w:color w:val="000000"/>
        </w:rPr>
        <w:t>health</w:t>
      </w:r>
      <w:r w:rsidRPr="00485E38">
        <w:rPr>
          <w:rFonts w:ascii="Cambria" w:eastAsia="Times New Roman" w:hAnsi="Cambria" w:cs="Times New Roman"/>
          <w:color w:val="000000"/>
        </w:rPr>
        <w:t xml:space="preserve"> With Screen Sharing or Tele</w:t>
      </w:r>
      <w:r w:rsidR="00A53B4A" w:rsidRPr="00485E38">
        <w:rPr>
          <w:rFonts w:ascii="Cambria" w:eastAsia="Times New Roman" w:hAnsi="Cambria" w:cs="Times New Roman"/>
          <w:color w:val="000000"/>
        </w:rPr>
        <w:t xml:space="preserve">health </w:t>
      </w:r>
      <w:r w:rsidRPr="00485E38">
        <w:rPr>
          <w:rFonts w:ascii="Cambria" w:eastAsia="Times New Roman" w:hAnsi="Cambria" w:cs="Times New Roman"/>
          <w:color w:val="000000"/>
        </w:rPr>
        <w:t>Without Screen Sharing</w:t>
      </w:r>
      <w:r w:rsidR="009A3FA9" w:rsidRPr="00485E38">
        <w:rPr>
          <w:rFonts w:ascii="Cambria" w:eastAsia="Times New Roman" w:hAnsi="Cambria" w:cs="Times New Roman"/>
          <w:color w:val="000000"/>
        </w:rPr>
        <w:t>,</w:t>
      </w:r>
      <w:r w:rsidRPr="00485E38">
        <w:rPr>
          <w:rFonts w:ascii="Cambria" w:eastAsia="Times New Roman" w:hAnsi="Cambria" w:cs="Times New Roman"/>
          <w:color w:val="000000"/>
        </w:rPr>
        <w:t xml:space="preserve"> but they will not be told </w:t>
      </w:r>
      <w:r w:rsidR="009A3FA9" w:rsidRPr="00485E38">
        <w:rPr>
          <w:rFonts w:ascii="Cambria" w:eastAsia="Times New Roman" w:hAnsi="Cambria" w:cs="Times New Roman"/>
          <w:color w:val="000000"/>
        </w:rPr>
        <w:t xml:space="preserve">to </w:t>
      </w:r>
      <w:r w:rsidRPr="00485E38">
        <w:rPr>
          <w:rFonts w:ascii="Cambria" w:eastAsia="Times New Roman" w:hAnsi="Cambria" w:cs="Times New Roman"/>
          <w:color w:val="000000"/>
        </w:rPr>
        <w:t>which group they are assigned until the</w:t>
      </w:r>
      <w:r w:rsidR="003F7D58" w:rsidRPr="00485E38">
        <w:rPr>
          <w:rFonts w:ascii="Cambria" w:eastAsia="Times New Roman" w:hAnsi="Cambria" w:cs="Times New Roman"/>
          <w:color w:val="000000"/>
        </w:rPr>
        <w:t xml:space="preserve">ir Baseline visit. CRC will inform them which arm they have been randomized to at that time. </w:t>
      </w:r>
    </w:p>
    <w:p w14:paraId="781D9353" w14:textId="39A0ADD2" w:rsidR="007D2A2E" w:rsidRPr="00381047" w:rsidRDefault="00A95DF0" w:rsidP="00020C67">
      <w:pPr>
        <w:spacing w:before="120" w:after="0" w:line="240" w:lineRule="auto"/>
        <w:ind w:right="58"/>
        <w:jc w:val="both"/>
        <w:rPr>
          <w:rFonts w:ascii="Cambria" w:eastAsia="Times New Roman" w:hAnsi="Cambria" w:cs="Times New Roman"/>
          <w:color w:val="000000"/>
        </w:rPr>
      </w:pPr>
      <w:r w:rsidRPr="009D7DDD">
        <w:rPr>
          <w:rFonts w:ascii="Cambria" w:eastAsia="Times New Roman" w:hAnsi="Cambria" w:cs="Times New Roman"/>
          <w:color w:val="000000"/>
        </w:rPr>
        <w:t>In the Tele</w:t>
      </w:r>
      <w:r w:rsidR="00A53B4A" w:rsidRPr="00381CE7">
        <w:rPr>
          <w:rFonts w:ascii="Cambria" w:eastAsia="Times New Roman" w:hAnsi="Cambria" w:cs="Times New Roman"/>
          <w:color w:val="000000"/>
        </w:rPr>
        <w:t>health</w:t>
      </w:r>
      <w:r w:rsidRPr="00381CE7">
        <w:rPr>
          <w:rFonts w:ascii="Cambria" w:eastAsia="Times New Roman" w:hAnsi="Cambria" w:cs="Times New Roman"/>
          <w:color w:val="000000"/>
        </w:rPr>
        <w:t xml:space="preserve"> Without Screen Sharing group, participants will receive standard of care, routine genetic counseling via secure teleconferencing platform with video capability (no screen sharing) for the Baseline and Retur</w:t>
      </w:r>
      <w:r w:rsidRPr="00485E38">
        <w:rPr>
          <w:rFonts w:ascii="Cambria" w:eastAsia="Times New Roman" w:hAnsi="Cambria" w:cs="Times New Roman"/>
          <w:color w:val="000000"/>
        </w:rPr>
        <w:t xml:space="preserve">n of Results (ROR1) genetic counseling appointments. </w:t>
      </w:r>
      <w:r w:rsidR="007D2A2E" w:rsidRPr="00485E38">
        <w:rPr>
          <w:rFonts w:ascii="Cambria" w:eastAsia="Times New Roman" w:hAnsi="Cambria" w:cs="Times New Roman"/>
          <w:color w:val="000000"/>
        </w:rPr>
        <w:t xml:space="preserve">These participants will receive a PDF copy of GUIA as a </w:t>
      </w:r>
      <w:r w:rsidR="003F7D58" w:rsidRPr="00485E38">
        <w:rPr>
          <w:rFonts w:ascii="Cambria" w:eastAsia="Times New Roman" w:hAnsi="Cambria" w:cs="Times New Roman"/>
          <w:color w:val="000000"/>
        </w:rPr>
        <w:t>resource</w:t>
      </w:r>
      <w:r w:rsidR="007D2A2E" w:rsidRPr="00485E38">
        <w:rPr>
          <w:rFonts w:ascii="Cambria" w:eastAsia="Times New Roman" w:hAnsi="Cambria" w:cs="Times New Roman"/>
          <w:color w:val="000000"/>
        </w:rPr>
        <w:t xml:space="preserve"> via mail or email after the ROR1 visit is complete. </w:t>
      </w:r>
      <w:r w:rsidRPr="00485E38">
        <w:rPr>
          <w:rFonts w:ascii="Cambria" w:eastAsia="Times New Roman" w:hAnsi="Cambria" w:cs="Times New Roman"/>
          <w:color w:val="000000"/>
        </w:rPr>
        <w:t>In the Tele</w:t>
      </w:r>
      <w:r w:rsidR="00A53B4A" w:rsidRPr="00485E38">
        <w:rPr>
          <w:rFonts w:ascii="Cambria" w:eastAsia="Times New Roman" w:hAnsi="Cambria" w:cs="Times New Roman"/>
          <w:color w:val="000000"/>
        </w:rPr>
        <w:t>health</w:t>
      </w:r>
      <w:r w:rsidRPr="00485E38">
        <w:rPr>
          <w:rFonts w:ascii="Cambria" w:eastAsia="Times New Roman" w:hAnsi="Cambria" w:cs="Times New Roman"/>
          <w:color w:val="000000"/>
        </w:rPr>
        <w:t xml:space="preserve"> With Screen Sharing group, they will receive routine genetic counseling for the Baseline visit via secure teleconferencing platform with video capability (no screen sharing), and routine </w:t>
      </w:r>
      <w:r w:rsidR="00381047">
        <w:rPr>
          <w:rFonts w:ascii="Cambria" w:eastAsia="Times New Roman" w:hAnsi="Cambria" w:cs="Times New Roman"/>
          <w:color w:val="000000"/>
        </w:rPr>
        <w:t xml:space="preserve">genetic counseling </w:t>
      </w:r>
      <w:r w:rsidRPr="00381047">
        <w:rPr>
          <w:rFonts w:ascii="Cambria" w:eastAsia="Times New Roman" w:hAnsi="Cambria" w:cs="Times New Roman"/>
          <w:color w:val="000000"/>
        </w:rPr>
        <w:t>plus GU</w:t>
      </w:r>
      <w:r w:rsidR="00381047">
        <w:rPr>
          <w:rFonts w:ascii="Cambria" w:eastAsia="Times New Roman" w:hAnsi="Cambria" w:cs="Times New Roman"/>
          <w:color w:val="000000"/>
        </w:rPr>
        <w:t>Í</w:t>
      </w:r>
      <w:r w:rsidRPr="00381047">
        <w:rPr>
          <w:rFonts w:ascii="Cambria" w:eastAsia="Times New Roman" w:hAnsi="Cambria" w:cs="Times New Roman"/>
          <w:color w:val="000000"/>
        </w:rPr>
        <w:t>A using screen sharing for the ROR1 visit.</w:t>
      </w:r>
    </w:p>
    <w:p w14:paraId="106A7FB9" w14:textId="77777777" w:rsidR="00A95DF0" w:rsidRPr="00020C67" w:rsidRDefault="00A95DF0" w:rsidP="00020C67">
      <w:pPr>
        <w:spacing w:before="120" w:after="0" w:line="240" w:lineRule="auto"/>
        <w:ind w:right="58"/>
        <w:jc w:val="both"/>
        <w:rPr>
          <w:rFonts w:ascii="Cambria" w:eastAsia="Times New Roman" w:hAnsi="Cambria" w:cs="Times New Roman"/>
        </w:rPr>
      </w:pPr>
      <w:r w:rsidRPr="00381047">
        <w:rPr>
          <w:rFonts w:ascii="Cambria" w:eastAsia="Times New Roman" w:hAnsi="Cambria" w:cs="Times New Roman"/>
          <w:color w:val="000000"/>
        </w:rPr>
        <w:t>Because some of the clinical practices at EM and MS might have different patient characteristics, and because the disease categories might have varying severities of illness that might impact the study outcome, we have chosen to use a stratified randomization scheme by disease category (cardiac, neurologic, immunologic) and clinical site as follows:</w:t>
      </w:r>
    </w:p>
    <w:p w14:paraId="60B28BB6" w14:textId="73E4AA22" w:rsidR="00A95DF0" w:rsidRPr="00020C67" w:rsidRDefault="00CB4E2A" w:rsidP="00020C67">
      <w:pPr>
        <w:spacing w:after="240" w:line="240" w:lineRule="auto"/>
        <w:jc w:val="both"/>
        <w:rPr>
          <w:rFonts w:ascii="Cambria" w:eastAsia="Times New Roman" w:hAnsi="Cambria" w:cs="Times New Roman"/>
        </w:rPr>
      </w:pPr>
      <w:r w:rsidRPr="00020C67">
        <w:rPr>
          <w:rFonts w:ascii="Cambria" w:eastAsia="Times New Roman" w:hAnsi="Cambria" w:cs="Times New Roman"/>
          <w:noProof/>
        </w:rPr>
        <w:lastRenderedPageBreak/>
        <w:drawing>
          <wp:inline distT="0" distB="0" distL="0" distR="0" wp14:anchorId="265FCB1F" wp14:editId="54BDA6C2">
            <wp:extent cx="38862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4076700"/>
                    </a:xfrm>
                    <a:prstGeom prst="rect">
                      <a:avLst/>
                    </a:prstGeom>
                  </pic:spPr>
                </pic:pic>
              </a:graphicData>
            </a:graphic>
          </wp:inline>
        </w:drawing>
      </w:r>
    </w:p>
    <w:p w14:paraId="2C5B2746" w14:textId="77777777" w:rsidR="00A95DF0" w:rsidRPr="00020C67" w:rsidRDefault="00A95DF0" w:rsidP="00020C67">
      <w:pPr>
        <w:spacing w:before="120" w:after="0" w:line="240" w:lineRule="auto"/>
        <w:ind w:right="58"/>
        <w:jc w:val="both"/>
        <w:rPr>
          <w:rFonts w:ascii="Cambria" w:eastAsia="Times New Roman" w:hAnsi="Cambria" w:cs="Times New Roman"/>
        </w:rPr>
      </w:pPr>
      <w:r w:rsidRPr="009D7DDD">
        <w:rPr>
          <w:rFonts w:ascii="Cambria" w:eastAsia="Times New Roman" w:hAnsi="Cambria" w:cs="Times New Roman"/>
          <w:color w:val="000000"/>
          <w:u w:val="single"/>
        </w:rPr>
        <w:t>Baseline Surveys</w:t>
      </w:r>
      <w:r w:rsidRPr="00381CE7">
        <w:rPr>
          <w:rFonts w:ascii="Cambria" w:eastAsia="Times New Roman" w:hAnsi="Cambria" w:cs="Times New Roman"/>
          <w:color w:val="000000"/>
        </w:rPr>
        <w:t> </w:t>
      </w:r>
    </w:p>
    <w:p w14:paraId="1F609E13" w14:textId="77777777" w:rsidR="00FC5FEC" w:rsidRPr="00485E38" w:rsidRDefault="00FC5FEC" w:rsidP="00020C67">
      <w:pPr>
        <w:spacing w:before="120" w:after="0" w:line="240" w:lineRule="auto"/>
        <w:ind w:right="58"/>
        <w:jc w:val="both"/>
        <w:rPr>
          <w:rFonts w:ascii="Cambria" w:eastAsia="Times New Roman" w:hAnsi="Cambria" w:cs="Times New Roman"/>
          <w:color w:val="000000"/>
        </w:rPr>
      </w:pPr>
      <w:r w:rsidRPr="009D7DDD">
        <w:rPr>
          <w:rFonts w:ascii="Cambria" w:eastAsia="Times New Roman" w:hAnsi="Cambria" w:cs="Times New Roman"/>
          <w:color w:val="000000"/>
        </w:rPr>
        <w:t xml:space="preserve">If the participant </w:t>
      </w:r>
      <w:r w:rsidRPr="00381CE7">
        <w:rPr>
          <w:rFonts w:ascii="Cambria" w:eastAsia="Times New Roman" w:hAnsi="Cambria" w:cs="Times New Roman"/>
          <w:color w:val="000000"/>
        </w:rPr>
        <w:t>is able to complete the visit from their home, based on the responses to the “Telehealth Access Screener,” the baseline survey, consent, and baseline visit will all be completed via telehealth. We will b</w:t>
      </w:r>
      <w:r w:rsidRPr="00485E38">
        <w:rPr>
          <w:rFonts w:ascii="Cambria" w:eastAsia="Times New Roman" w:hAnsi="Cambria" w:cs="Times New Roman"/>
          <w:color w:val="000000"/>
        </w:rPr>
        <w:t xml:space="preserve">e using the secure, HIPAA-compliant version of the application, “Zoom.” </w:t>
      </w:r>
      <w:r w:rsidR="00B67869" w:rsidRPr="00485E38">
        <w:rPr>
          <w:rFonts w:ascii="Cambria" w:eastAsia="Times New Roman" w:hAnsi="Cambria" w:cs="Times New Roman"/>
          <w:color w:val="000000"/>
        </w:rPr>
        <w:t xml:space="preserve">The clinical research coordinator (CRC) will </w:t>
      </w:r>
      <w:r w:rsidRPr="00485E38">
        <w:rPr>
          <w:rFonts w:ascii="Cambria" w:eastAsia="Times New Roman" w:hAnsi="Cambria" w:cs="Times New Roman"/>
          <w:color w:val="000000"/>
        </w:rPr>
        <w:t>provide the link to the informed consent that will be obtained electronically through REDCap via text or email at the visit.  Parents will be able to view and sign the informed consent while the CRC discusses it with them through Zoom. If there are technical difficulties in this process, the CRC can alternatively call the parents to discuss the consent while the parent reviews and signs the consent on REDCap.</w:t>
      </w:r>
    </w:p>
    <w:p w14:paraId="17FFC56E" w14:textId="0A543CC5" w:rsidR="00FC5FEC" w:rsidRPr="00485E38" w:rsidRDefault="00FC5FEC" w:rsidP="00020C67">
      <w:pPr>
        <w:spacing w:before="120" w:after="0" w:line="240" w:lineRule="auto"/>
        <w:ind w:right="58"/>
        <w:jc w:val="both"/>
        <w:rPr>
          <w:rFonts w:ascii="Cambria" w:eastAsia="Times New Roman" w:hAnsi="Cambria" w:cs="Times New Roman"/>
          <w:color w:val="000000"/>
        </w:rPr>
      </w:pPr>
      <w:r w:rsidRPr="00485E38">
        <w:rPr>
          <w:rFonts w:ascii="Cambria" w:eastAsia="Times New Roman" w:hAnsi="Cambria" w:cs="Times New Roman"/>
          <w:color w:val="000000"/>
        </w:rPr>
        <w:t>Should the family be unable to access appropriate technology for the Baseline survey, consent, and Baseline visit (as determined by the “Telehealth Access Screener”), they will come to the institution for their visit</w:t>
      </w:r>
      <w:r w:rsidR="009859F0" w:rsidRPr="00485E38">
        <w:rPr>
          <w:rFonts w:ascii="Cambria" w:eastAsia="Times New Roman" w:hAnsi="Cambria" w:cs="Times New Roman"/>
          <w:color w:val="000000"/>
        </w:rPr>
        <w:t>, where they will have access to a private patient area such as the Clinical Research Unit at EM</w:t>
      </w:r>
      <w:r w:rsidRPr="00485E38">
        <w:rPr>
          <w:rFonts w:ascii="Cambria" w:eastAsia="Times New Roman" w:hAnsi="Cambria" w:cs="Times New Roman"/>
          <w:color w:val="000000"/>
        </w:rPr>
        <w:t xml:space="preserve">. This will be conducted over Zoom using a provided tablet or computer, where e-consent can be completed. </w:t>
      </w:r>
    </w:p>
    <w:p w14:paraId="735B7EAE" w14:textId="2AF88894" w:rsidR="00FC5FEC" w:rsidRPr="00485E38" w:rsidRDefault="00FC5FEC" w:rsidP="00020C67">
      <w:pPr>
        <w:spacing w:before="120" w:after="0" w:line="240" w:lineRule="auto"/>
        <w:ind w:right="58"/>
        <w:jc w:val="both"/>
        <w:rPr>
          <w:rFonts w:ascii="Cambria" w:eastAsia="Times New Roman" w:hAnsi="Cambria" w:cs="Times New Roman"/>
          <w:color w:val="000000"/>
        </w:rPr>
      </w:pPr>
      <w:r w:rsidRPr="00485E38">
        <w:rPr>
          <w:rFonts w:ascii="Cambria" w:eastAsia="Times New Roman" w:hAnsi="Cambria" w:cs="Times New Roman"/>
          <w:color w:val="000000"/>
        </w:rPr>
        <w:t xml:space="preserve">Should e-consenting fail due to technical difficulties of any kind, whether on-site or at the participant’s home, the CRC can use a paper-copy to consent. This will be mailed to the parents or alternatively provided in-person. </w:t>
      </w:r>
    </w:p>
    <w:p w14:paraId="50A07826" w14:textId="3AAE1F3C" w:rsidR="00A95DF0" w:rsidRPr="00020C67" w:rsidRDefault="00A95DF0" w:rsidP="00020C67">
      <w:pPr>
        <w:spacing w:before="120" w:after="0" w:line="240" w:lineRule="auto"/>
        <w:ind w:right="58"/>
        <w:jc w:val="both"/>
        <w:rPr>
          <w:rFonts w:ascii="Cambria" w:eastAsia="Times New Roman" w:hAnsi="Cambria" w:cs="Times New Roman"/>
        </w:rPr>
      </w:pPr>
      <w:r w:rsidRPr="00485E38">
        <w:rPr>
          <w:rFonts w:ascii="Cambria" w:eastAsia="Times New Roman" w:hAnsi="Cambria" w:cs="Times New Roman"/>
          <w:color w:val="000000"/>
        </w:rPr>
        <w:t>After parents sign the</w:t>
      </w:r>
      <w:r w:rsidRPr="00485E38">
        <w:rPr>
          <w:rFonts w:ascii="Cambria" w:eastAsia="Times New Roman" w:hAnsi="Cambria" w:cs="Times New Roman"/>
          <w:i/>
          <w:iCs/>
          <w:color w:val="000000"/>
        </w:rPr>
        <w:t xml:space="preserve"> Informed Consent: Baseline Survey (see Section VI.a.) </w:t>
      </w:r>
      <w:r w:rsidRPr="00485E38">
        <w:rPr>
          <w:rFonts w:ascii="Cambria" w:eastAsia="Times New Roman" w:hAnsi="Cambria" w:cs="Times New Roman"/>
          <w:color w:val="000000"/>
        </w:rPr>
        <w:t xml:space="preserve">electronically via REDCap or in-person, a site-specific </w:t>
      </w:r>
      <w:r w:rsidR="00E36014" w:rsidRPr="00485E38">
        <w:rPr>
          <w:rFonts w:ascii="Cambria" w:eastAsia="Times New Roman" w:hAnsi="Cambria" w:cs="Times New Roman"/>
          <w:color w:val="000000"/>
        </w:rPr>
        <w:t>CRC</w:t>
      </w:r>
      <w:r w:rsidRPr="00485E38">
        <w:rPr>
          <w:rFonts w:ascii="Cambria" w:eastAsia="Times New Roman" w:hAnsi="Cambria" w:cs="Times New Roman"/>
          <w:color w:val="000000"/>
        </w:rPr>
        <w:t xml:space="preserve"> will administer a 45-60 minute baseline survey. All CRCs are bilingual and will administer the survey in the parent’s preferred language (English or Spanish). Participants will have the option to take the survey via secure video conferencing platform (preferred) or by phone if the parent(s) is unable to use secure video conferencing platform for the </w:t>
      </w:r>
      <w:r w:rsidRPr="00485E38">
        <w:rPr>
          <w:rFonts w:ascii="Cambria" w:eastAsia="Times New Roman" w:hAnsi="Cambria" w:cs="Times New Roman"/>
          <w:color w:val="000000"/>
        </w:rPr>
        <w:lastRenderedPageBreak/>
        <w:t xml:space="preserve">baseline survey. </w:t>
      </w:r>
      <w:r w:rsidR="006E697E" w:rsidRPr="00485E38">
        <w:rPr>
          <w:rFonts w:ascii="Cambria" w:eastAsia="Times New Roman" w:hAnsi="Cambria" w:cs="Times New Roman"/>
          <w:color w:val="000000"/>
        </w:rPr>
        <w:t xml:space="preserve">CRCs will </w:t>
      </w:r>
      <w:r w:rsidR="006E697E" w:rsidRPr="00485E38">
        <w:rPr>
          <w:rFonts w:ascii="Cambria" w:eastAsia="Times New Roman" w:hAnsi="Cambria" w:cs="Times New Roman"/>
          <w:b/>
          <w:color w:val="000000"/>
        </w:rPr>
        <w:t xml:space="preserve">not </w:t>
      </w:r>
      <w:r w:rsidR="006E697E" w:rsidRPr="00485E38">
        <w:rPr>
          <w:rFonts w:ascii="Cambria" w:eastAsia="Times New Roman" w:hAnsi="Cambria" w:cs="Times New Roman"/>
          <w:color w:val="000000"/>
        </w:rPr>
        <w:t>use screen</w:t>
      </w:r>
      <w:r w:rsidR="00E338DA" w:rsidRPr="00485E38">
        <w:rPr>
          <w:rFonts w:ascii="Cambria" w:eastAsia="Times New Roman" w:hAnsi="Cambria" w:cs="Times New Roman"/>
          <w:color w:val="000000"/>
        </w:rPr>
        <w:t>-</w:t>
      </w:r>
      <w:r w:rsidR="006E697E" w:rsidRPr="00485E38">
        <w:rPr>
          <w:rFonts w:ascii="Cambria" w:eastAsia="Times New Roman" w:hAnsi="Cambria" w:cs="Times New Roman"/>
          <w:color w:val="000000"/>
        </w:rPr>
        <w:t xml:space="preserve">sharing capabilities when completing this informed consent and administering the survey. </w:t>
      </w:r>
      <w:r w:rsidRPr="00485E38">
        <w:rPr>
          <w:rFonts w:ascii="Cambria" w:eastAsia="Times New Roman" w:hAnsi="Cambria" w:cs="Times New Roman"/>
          <w:color w:val="000000"/>
        </w:rPr>
        <w:t>Of note, the survey needs to be administered before the parent consents to genomic testing by signing the Informed Consent: Main Survey consent, as it is designed to measure pre-testing/pre-education knowledge and the genomic consenting process includes extensive education. For this reason, there is a separate informed consent (</w:t>
      </w:r>
      <w:r w:rsidRPr="00485E38">
        <w:rPr>
          <w:rFonts w:ascii="Cambria" w:eastAsia="Times New Roman" w:hAnsi="Cambria" w:cs="Times New Roman"/>
          <w:i/>
          <w:iCs/>
          <w:color w:val="000000"/>
        </w:rPr>
        <w:t>Informed Consent: Baseline Survey</w:t>
      </w:r>
      <w:r w:rsidRPr="00485E38">
        <w:rPr>
          <w:rFonts w:ascii="Cambria" w:eastAsia="Times New Roman" w:hAnsi="Cambria" w:cs="Times New Roman"/>
          <w:color w:val="000000"/>
        </w:rPr>
        <w:t>) for the survey that will be signed before it is administered. For the baseline survey, parents/guardians may choose to complete the baseline survey in a separate visit before their baseline/enrollment tele</w:t>
      </w:r>
      <w:r w:rsidR="00A53B4A" w:rsidRPr="00485E38">
        <w:rPr>
          <w:rFonts w:ascii="Cambria" w:eastAsia="Times New Roman" w:hAnsi="Cambria" w:cs="Times New Roman"/>
          <w:color w:val="000000"/>
        </w:rPr>
        <w:t>health</w:t>
      </w:r>
      <w:r w:rsidRPr="00485E38">
        <w:rPr>
          <w:rFonts w:ascii="Cambria" w:eastAsia="Times New Roman" w:hAnsi="Cambria" w:cs="Times New Roman"/>
          <w:color w:val="000000"/>
        </w:rPr>
        <w:t>-visit (in which case they would have four separate study visits), or at the time of the recruitment (</w:t>
      </w:r>
      <w:r w:rsidRPr="00485E38">
        <w:rPr>
          <w:rFonts w:ascii="Cambria" w:eastAsia="Times New Roman" w:hAnsi="Cambria" w:cs="Times New Roman"/>
          <w:i/>
          <w:iCs/>
          <w:color w:val="000000"/>
        </w:rPr>
        <w:t>i.e</w:t>
      </w:r>
      <w:r w:rsidRPr="00485E38">
        <w:rPr>
          <w:rFonts w:ascii="Cambria" w:eastAsia="Times New Roman" w:hAnsi="Cambria" w:cs="Times New Roman"/>
          <w:color w:val="000000"/>
        </w:rPr>
        <w:t xml:space="preserve">., longer first visit).  CRCs will use tablets or work computers to enter survey answers directly into our REDCap database. Baseline survey questions (English and Spanish versions) are attached in Appendix </w:t>
      </w:r>
      <w:r w:rsidR="00020C67">
        <w:rPr>
          <w:rFonts w:ascii="Cambria" w:eastAsia="Times New Roman" w:hAnsi="Cambria" w:cs="Times New Roman"/>
          <w:color w:val="000000"/>
        </w:rPr>
        <w:t>a</w:t>
      </w:r>
      <w:r w:rsidRPr="00485E38">
        <w:rPr>
          <w:rFonts w:ascii="Cambria" w:eastAsia="Times New Roman" w:hAnsi="Cambria" w:cs="Times New Roman"/>
          <w:color w:val="000000"/>
        </w:rPr>
        <w:t xml:space="preserve">.          </w:t>
      </w:r>
    </w:p>
    <w:p w14:paraId="372E2AD6" w14:textId="77777777" w:rsidR="00A95DF0" w:rsidRPr="00020C67" w:rsidRDefault="00A95DF0" w:rsidP="00020C67">
      <w:pPr>
        <w:spacing w:after="0" w:line="240" w:lineRule="auto"/>
        <w:jc w:val="both"/>
        <w:rPr>
          <w:rFonts w:ascii="Cambria" w:eastAsia="Times New Roman" w:hAnsi="Cambria" w:cs="Times New Roman"/>
        </w:rPr>
      </w:pPr>
    </w:p>
    <w:p w14:paraId="64E20FED" w14:textId="1FBC9184" w:rsidR="00A95DF0" w:rsidRPr="00020C67" w:rsidRDefault="00A95DF0" w:rsidP="00020C67">
      <w:pPr>
        <w:spacing w:after="120" w:line="240" w:lineRule="auto"/>
        <w:ind w:right="58" w:hanging="720"/>
        <w:jc w:val="both"/>
        <w:rPr>
          <w:rFonts w:ascii="Cambria" w:eastAsia="Times New Roman" w:hAnsi="Cambria" w:cs="Times New Roman"/>
        </w:rPr>
      </w:pPr>
      <w:r w:rsidRPr="009D7DDD">
        <w:rPr>
          <w:rFonts w:ascii="Cambria" w:eastAsia="Times New Roman" w:hAnsi="Cambria" w:cs="Times New Roman"/>
          <w:b/>
          <w:bCs/>
          <w:i/>
          <w:iCs/>
          <w:color w:val="000000"/>
        </w:rPr>
        <w:t>III.c. Baseline Vis</w:t>
      </w:r>
      <w:r w:rsidRPr="007C01DF">
        <w:rPr>
          <w:rFonts w:ascii="Cambria" w:eastAsia="Times New Roman" w:hAnsi="Cambria" w:cs="Times New Roman"/>
          <w:b/>
          <w:bCs/>
          <w:i/>
          <w:iCs/>
          <w:color w:val="000000"/>
        </w:rPr>
        <w:t>i</w:t>
      </w:r>
      <w:r w:rsidR="00CA4A9E" w:rsidRPr="007C01DF">
        <w:rPr>
          <w:rFonts w:ascii="Cambria" w:eastAsia="Times New Roman" w:hAnsi="Cambria" w:cs="Times New Roman"/>
          <w:b/>
          <w:i/>
        </w:rPr>
        <w:t>t</w:t>
      </w:r>
    </w:p>
    <w:p w14:paraId="4F89E94A" w14:textId="2D3DF990"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 xml:space="preserve">Informed consent and Pre-Test Genetic Counseling: </w:t>
      </w:r>
      <w:r w:rsidRPr="00381CE7">
        <w:rPr>
          <w:rFonts w:ascii="Cambria" w:eastAsia="Times New Roman" w:hAnsi="Cambria" w:cs="Times New Roman"/>
          <w:color w:val="000000"/>
        </w:rPr>
        <w:t>Participants will have the option to take part in the main study consenting process by using a secure video conferencing platform, either off-site (</w:t>
      </w:r>
      <w:r w:rsidRPr="00485E38">
        <w:rPr>
          <w:rFonts w:ascii="Cambria" w:eastAsia="Times New Roman" w:hAnsi="Cambria" w:cs="Times New Roman"/>
          <w:i/>
          <w:iCs/>
          <w:color w:val="000000"/>
        </w:rPr>
        <w:t>i.e</w:t>
      </w:r>
      <w:r w:rsidRPr="00485E38">
        <w:rPr>
          <w:rFonts w:ascii="Cambria" w:eastAsia="Times New Roman" w:hAnsi="Cambria" w:cs="Times New Roman"/>
          <w:color w:val="000000"/>
        </w:rPr>
        <w:t xml:space="preserve">., at home or at the family’s preferred secure location) or in the hospital setting </w:t>
      </w:r>
      <w:r w:rsidR="00BB7A04" w:rsidRPr="00485E38">
        <w:rPr>
          <w:rFonts w:ascii="Cambria" w:eastAsia="Times New Roman" w:hAnsi="Cambria" w:cs="Times New Roman"/>
          <w:color w:val="000000"/>
        </w:rPr>
        <w:t xml:space="preserve">in a private patient area </w:t>
      </w:r>
      <w:r w:rsidRPr="00485E38">
        <w:rPr>
          <w:rFonts w:ascii="Cambria" w:eastAsia="Times New Roman" w:hAnsi="Cambria" w:cs="Times New Roman"/>
          <w:color w:val="000000"/>
        </w:rPr>
        <w:t>(using a</w:t>
      </w:r>
      <w:r w:rsidR="00FC5FEC" w:rsidRPr="00485E38">
        <w:rPr>
          <w:rFonts w:ascii="Cambria" w:eastAsia="Times New Roman" w:hAnsi="Cambria" w:cs="Times New Roman"/>
          <w:color w:val="000000"/>
        </w:rPr>
        <w:t xml:space="preserve"> tablet </w:t>
      </w:r>
      <w:r w:rsidRPr="00485E38">
        <w:rPr>
          <w:rFonts w:ascii="Cambria" w:eastAsia="Times New Roman" w:hAnsi="Cambria" w:cs="Times New Roman"/>
          <w:color w:val="000000"/>
        </w:rPr>
        <w:t>or computer provided by the study). Although off site is preferred, the purpose of offering participants the ability to use this technology in a hospital setting is to reduce any disparities in access to this research.</w:t>
      </w:r>
    </w:p>
    <w:p w14:paraId="78C79A4A" w14:textId="77777777" w:rsidR="00A95DF0" w:rsidRPr="00020C67" w:rsidRDefault="00A95DF0" w:rsidP="00020C67">
      <w:pPr>
        <w:spacing w:after="0" w:line="240" w:lineRule="auto"/>
        <w:jc w:val="both"/>
        <w:rPr>
          <w:rFonts w:ascii="Cambria" w:eastAsia="Times New Roman" w:hAnsi="Cambria" w:cs="Times New Roman"/>
        </w:rPr>
      </w:pPr>
    </w:p>
    <w:p w14:paraId="48A453DD" w14:textId="44F1CEAB" w:rsidR="00CA4A9E" w:rsidRPr="00485E38" w:rsidRDefault="00A95DF0" w:rsidP="00020C67">
      <w:pPr>
        <w:spacing w:after="0" w:line="240" w:lineRule="auto"/>
        <w:jc w:val="both"/>
        <w:rPr>
          <w:rFonts w:ascii="Cambria" w:eastAsia="Times New Roman" w:hAnsi="Cambria" w:cs="Times New Roman"/>
          <w:color w:val="000000"/>
        </w:rPr>
      </w:pPr>
      <w:r w:rsidRPr="009D7DDD">
        <w:rPr>
          <w:rFonts w:ascii="Cambria" w:eastAsia="Times New Roman" w:hAnsi="Cambria" w:cs="Times New Roman"/>
          <w:color w:val="000000"/>
        </w:rPr>
        <w:t>At this visit conducted via secure video conferencing platform, the parent/guardia</w:t>
      </w:r>
      <w:r w:rsidRPr="00381CE7">
        <w:rPr>
          <w:rFonts w:ascii="Cambria" w:eastAsia="Times New Roman" w:hAnsi="Cambria" w:cs="Times New Roman"/>
          <w:color w:val="000000"/>
        </w:rPr>
        <w:t xml:space="preserve">n will review the </w:t>
      </w:r>
      <w:r w:rsidRPr="00381047">
        <w:rPr>
          <w:rFonts w:ascii="Cambria" w:eastAsia="Times New Roman" w:hAnsi="Cambria" w:cs="Times New Roman"/>
          <w:i/>
          <w:iCs/>
          <w:color w:val="000000"/>
        </w:rPr>
        <w:t>Informed Consent: Main study</w:t>
      </w:r>
      <w:r w:rsidRPr="00381047">
        <w:rPr>
          <w:rFonts w:ascii="Cambria" w:eastAsia="Times New Roman" w:hAnsi="Cambria" w:cs="Times New Roman"/>
          <w:color w:val="000000"/>
        </w:rPr>
        <w:t xml:space="preserve"> with the </w:t>
      </w:r>
      <w:r w:rsidR="00381047">
        <w:rPr>
          <w:rFonts w:ascii="Cambria" w:eastAsia="Times New Roman" w:hAnsi="Cambria" w:cs="Times New Roman"/>
          <w:color w:val="000000"/>
        </w:rPr>
        <w:t>GC</w:t>
      </w:r>
      <w:r w:rsidRPr="00381047">
        <w:rPr>
          <w:rFonts w:ascii="Cambria" w:eastAsia="Times New Roman" w:hAnsi="Cambria" w:cs="Times New Roman"/>
          <w:color w:val="000000"/>
        </w:rPr>
        <w:t xml:space="preserve"> and will electronically sign the informed consent and child assent when appropriate using the REDCap secure e-consenting platf</w:t>
      </w:r>
      <w:r w:rsidRPr="00485E38">
        <w:rPr>
          <w:rFonts w:ascii="Cambria" w:eastAsia="Times New Roman" w:hAnsi="Cambria" w:cs="Times New Roman"/>
          <w:color w:val="000000"/>
        </w:rPr>
        <w:t xml:space="preserve">orm. </w:t>
      </w:r>
    </w:p>
    <w:p w14:paraId="6B71F6D5" w14:textId="05C2112D" w:rsidR="00FC5FEC" w:rsidRPr="00485E38" w:rsidRDefault="00FC5FEC" w:rsidP="00020C67">
      <w:pPr>
        <w:spacing w:before="120" w:after="0" w:line="240" w:lineRule="auto"/>
        <w:ind w:right="58"/>
        <w:jc w:val="both"/>
        <w:rPr>
          <w:rFonts w:ascii="Cambria" w:eastAsia="Times New Roman" w:hAnsi="Cambria" w:cs="Times New Roman"/>
          <w:color w:val="000000"/>
        </w:rPr>
      </w:pPr>
      <w:r w:rsidRPr="00485E38">
        <w:rPr>
          <w:rFonts w:ascii="Cambria" w:eastAsia="Times New Roman" w:hAnsi="Cambria" w:cs="Times New Roman"/>
          <w:color w:val="000000"/>
        </w:rPr>
        <w:t xml:space="preserve">The </w:t>
      </w:r>
      <w:r w:rsidR="00E36014" w:rsidRPr="00485E38">
        <w:rPr>
          <w:rFonts w:ascii="Cambria" w:eastAsia="Times New Roman" w:hAnsi="Cambria" w:cs="Times New Roman"/>
          <w:color w:val="000000"/>
        </w:rPr>
        <w:t>GC</w:t>
      </w:r>
      <w:r w:rsidR="00A56145"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will provide the link to the informed consent that will be obtained electronically through REDCap via</w:t>
      </w:r>
      <w:r w:rsidR="00A56145" w:rsidRPr="00485E38">
        <w:rPr>
          <w:rFonts w:ascii="Cambria" w:eastAsia="Times New Roman" w:hAnsi="Cambria" w:cs="Times New Roman"/>
          <w:color w:val="000000"/>
        </w:rPr>
        <w:t xml:space="preserve"> the chat function of Zoom,</w:t>
      </w:r>
      <w:r w:rsidRPr="00485E38">
        <w:rPr>
          <w:rFonts w:ascii="Cambria" w:eastAsia="Times New Roman" w:hAnsi="Cambria" w:cs="Times New Roman"/>
          <w:color w:val="000000"/>
        </w:rPr>
        <w:t xml:space="preserve"> email</w:t>
      </w:r>
      <w:r w:rsidR="00A56145" w:rsidRPr="00485E38">
        <w:rPr>
          <w:rFonts w:ascii="Cambria" w:eastAsia="Times New Roman" w:hAnsi="Cambria" w:cs="Times New Roman"/>
          <w:color w:val="000000"/>
        </w:rPr>
        <w:t>, or text</w:t>
      </w:r>
      <w:r w:rsidRPr="00485E38">
        <w:rPr>
          <w:rFonts w:ascii="Cambria" w:eastAsia="Times New Roman" w:hAnsi="Cambria" w:cs="Times New Roman"/>
          <w:color w:val="000000"/>
        </w:rPr>
        <w:t xml:space="preserve"> at the </w:t>
      </w:r>
      <w:r w:rsidR="00A56145" w:rsidRPr="00485E38">
        <w:rPr>
          <w:rFonts w:ascii="Cambria" w:eastAsia="Times New Roman" w:hAnsi="Cambria" w:cs="Times New Roman"/>
          <w:color w:val="000000"/>
        </w:rPr>
        <w:t xml:space="preserve">time of the </w:t>
      </w:r>
      <w:r w:rsidRPr="00485E38">
        <w:rPr>
          <w:rFonts w:ascii="Cambria" w:eastAsia="Times New Roman" w:hAnsi="Cambria" w:cs="Times New Roman"/>
          <w:color w:val="000000"/>
        </w:rPr>
        <w:t xml:space="preserve">visit. </w:t>
      </w:r>
      <w:r w:rsidR="00E36014" w:rsidRPr="00485E38">
        <w:rPr>
          <w:rFonts w:ascii="Cambria" w:eastAsia="Times New Roman" w:hAnsi="Cambria" w:cs="Times New Roman"/>
          <w:color w:val="000000"/>
        </w:rPr>
        <w:t xml:space="preserve">The </w:t>
      </w:r>
      <w:r w:rsidR="00A56145" w:rsidRPr="00485E38">
        <w:rPr>
          <w:rFonts w:ascii="Cambria" w:eastAsia="Times New Roman" w:hAnsi="Cambria" w:cs="Times New Roman"/>
          <w:color w:val="000000"/>
        </w:rPr>
        <w:t xml:space="preserve">consent form will not be sent to the participant before the visit, as this has the potential to bias the responses to the baseline survey. </w:t>
      </w:r>
      <w:r w:rsidRPr="00485E38">
        <w:rPr>
          <w:rFonts w:ascii="Cambria" w:eastAsia="Times New Roman" w:hAnsi="Cambria" w:cs="Times New Roman"/>
          <w:color w:val="000000"/>
        </w:rPr>
        <w:t xml:space="preserve"> Parents will be able to view and sign the informed consent while the </w:t>
      </w:r>
      <w:r w:rsidR="00A56145" w:rsidRPr="00485E38">
        <w:rPr>
          <w:rFonts w:ascii="Cambria" w:eastAsia="Times New Roman" w:hAnsi="Cambria" w:cs="Times New Roman"/>
          <w:color w:val="000000"/>
        </w:rPr>
        <w:t>GC</w:t>
      </w:r>
      <w:r w:rsidRPr="00485E38">
        <w:rPr>
          <w:rFonts w:ascii="Cambria" w:eastAsia="Times New Roman" w:hAnsi="Cambria" w:cs="Times New Roman"/>
          <w:color w:val="000000"/>
        </w:rPr>
        <w:t xml:space="preserve"> discusses it with them through Zoom. If there are technical difficulties in this process, the </w:t>
      </w:r>
      <w:r w:rsidR="00A56145" w:rsidRPr="00485E38">
        <w:rPr>
          <w:rFonts w:ascii="Cambria" w:eastAsia="Times New Roman" w:hAnsi="Cambria" w:cs="Times New Roman"/>
          <w:color w:val="000000"/>
        </w:rPr>
        <w:t>GC</w:t>
      </w:r>
      <w:r w:rsidRPr="00485E38">
        <w:rPr>
          <w:rFonts w:ascii="Cambria" w:eastAsia="Times New Roman" w:hAnsi="Cambria" w:cs="Times New Roman"/>
          <w:color w:val="000000"/>
        </w:rPr>
        <w:t xml:space="preserve"> can alternatively call the parents to discuss the consent while the parent reviews and signs the consent on REDCap.</w:t>
      </w:r>
    </w:p>
    <w:p w14:paraId="0E17295E" w14:textId="77777777" w:rsidR="00FC5FEC" w:rsidRPr="00485E38" w:rsidRDefault="00FC5FEC" w:rsidP="00020C67">
      <w:pPr>
        <w:spacing w:before="120" w:after="0" w:line="240" w:lineRule="auto"/>
        <w:ind w:right="58"/>
        <w:jc w:val="both"/>
        <w:rPr>
          <w:rFonts w:ascii="Cambria" w:eastAsia="Times New Roman" w:hAnsi="Cambria" w:cs="Times New Roman"/>
          <w:color w:val="000000"/>
        </w:rPr>
      </w:pPr>
      <w:r w:rsidRPr="00485E38">
        <w:rPr>
          <w:rFonts w:ascii="Cambria" w:eastAsia="Times New Roman" w:hAnsi="Cambria" w:cs="Times New Roman"/>
          <w:color w:val="000000"/>
        </w:rPr>
        <w:t xml:space="preserve">Should the family be unable to access appropriate technology for the Baseline survey, consent, and Baseline visit (as determined by the “Telehealth Access Screener”), they will come to the institution for their visit. This will be conducted over Zoom using a provided tablet or computer, where e-consent can be completed. </w:t>
      </w:r>
    </w:p>
    <w:p w14:paraId="299AA27D" w14:textId="0AB5CD37" w:rsidR="00FC5FEC" w:rsidRPr="00485E38" w:rsidRDefault="00FC5FEC" w:rsidP="00020C67">
      <w:pPr>
        <w:spacing w:before="120" w:after="0" w:line="240" w:lineRule="auto"/>
        <w:ind w:right="58"/>
        <w:jc w:val="both"/>
        <w:rPr>
          <w:rFonts w:ascii="Cambria" w:eastAsia="Times New Roman" w:hAnsi="Cambria" w:cs="Times New Roman"/>
          <w:color w:val="000000"/>
        </w:rPr>
      </w:pPr>
      <w:r w:rsidRPr="00485E38">
        <w:rPr>
          <w:rFonts w:ascii="Cambria" w:eastAsia="Times New Roman" w:hAnsi="Cambria" w:cs="Times New Roman"/>
          <w:color w:val="000000"/>
        </w:rPr>
        <w:t xml:space="preserve">Should e-consenting fail due to technical difficulties of any kind, whether on-site or at the participant’s home, the </w:t>
      </w:r>
      <w:r w:rsidR="00A56145" w:rsidRPr="00485E38">
        <w:rPr>
          <w:rFonts w:ascii="Cambria" w:eastAsia="Times New Roman" w:hAnsi="Cambria" w:cs="Times New Roman"/>
          <w:color w:val="000000"/>
        </w:rPr>
        <w:t>GC</w:t>
      </w:r>
      <w:r w:rsidRPr="00485E38">
        <w:rPr>
          <w:rFonts w:ascii="Cambria" w:eastAsia="Times New Roman" w:hAnsi="Cambria" w:cs="Times New Roman"/>
          <w:color w:val="000000"/>
        </w:rPr>
        <w:t xml:space="preserve"> can use a paper-copy to consent. This will be mailed to the parents or alternatively provided in-person. </w:t>
      </w:r>
    </w:p>
    <w:p w14:paraId="4C54C763" w14:textId="77777777" w:rsidR="00FC5FEC" w:rsidRPr="00485E38" w:rsidRDefault="00FC5FEC" w:rsidP="00020C67">
      <w:pPr>
        <w:spacing w:after="0" w:line="240" w:lineRule="auto"/>
        <w:jc w:val="both"/>
        <w:rPr>
          <w:rFonts w:ascii="Cambria" w:eastAsia="Times New Roman" w:hAnsi="Cambria" w:cs="Times New Roman"/>
          <w:color w:val="000000"/>
        </w:rPr>
      </w:pPr>
    </w:p>
    <w:p w14:paraId="1C7703FE" w14:textId="1F20E743" w:rsidR="00A95DF0" w:rsidRPr="00020C67" w:rsidRDefault="00A95DF0" w:rsidP="00020C67">
      <w:pPr>
        <w:spacing w:after="0" w:line="240" w:lineRule="auto"/>
        <w:jc w:val="both"/>
        <w:rPr>
          <w:rFonts w:ascii="Cambria" w:eastAsia="Times New Roman" w:hAnsi="Cambria" w:cs="Times New Roman"/>
        </w:rPr>
      </w:pPr>
      <w:r w:rsidRPr="00485E38">
        <w:rPr>
          <w:rFonts w:ascii="Cambria" w:eastAsia="Times New Roman" w:hAnsi="Cambria" w:cs="Times New Roman"/>
          <w:color w:val="000000"/>
        </w:rPr>
        <w:t>If the child is a young adult (18-21 years of age) with intact cognitive abilities, they will electronically sign a separate Informed Consent for testing, while the parent(s) sign an Informed Consent for surveys and parental blood draw.</w:t>
      </w:r>
    </w:p>
    <w:p w14:paraId="1CE0EB89" w14:textId="77777777" w:rsidR="00A95DF0" w:rsidRPr="00020C67" w:rsidRDefault="00A95DF0" w:rsidP="00020C67">
      <w:pPr>
        <w:spacing w:after="0" w:line="240" w:lineRule="auto"/>
        <w:jc w:val="both"/>
        <w:rPr>
          <w:rFonts w:ascii="Cambria" w:eastAsia="Times New Roman" w:hAnsi="Cambria" w:cs="Times New Roman"/>
        </w:rPr>
      </w:pPr>
    </w:p>
    <w:p w14:paraId="7BB8AC73" w14:textId="27631745"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During the consenting process, the family will be educated about the study, as well as extensively educated about the risks, benefits, and limitations of genom</w:t>
      </w:r>
      <w:r w:rsidRPr="00381CE7">
        <w:rPr>
          <w:rFonts w:ascii="Cambria" w:eastAsia="Times New Roman" w:hAnsi="Cambria" w:cs="Times New Roman"/>
          <w:color w:val="000000"/>
        </w:rPr>
        <w:t xml:space="preserve">ic testing. </w:t>
      </w:r>
      <w:r w:rsidR="00280868" w:rsidRPr="00020C67">
        <w:rPr>
          <w:rFonts w:ascii="Cambria" w:eastAsia="Times New Roman" w:hAnsi="Cambria" w:cs="Times New Roman"/>
          <w:bCs/>
          <w:color w:val="000000"/>
        </w:rPr>
        <w:t>For participants randomized to the Tele</w:t>
      </w:r>
      <w:r w:rsidR="00A53B4A" w:rsidRPr="00020C67">
        <w:rPr>
          <w:rFonts w:ascii="Cambria" w:eastAsia="Times New Roman" w:hAnsi="Cambria" w:cs="Times New Roman"/>
          <w:bCs/>
          <w:color w:val="000000"/>
        </w:rPr>
        <w:t>health</w:t>
      </w:r>
      <w:r w:rsidR="00280868" w:rsidRPr="00020C67">
        <w:rPr>
          <w:rFonts w:ascii="Cambria" w:eastAsia="Times New Roman" w:hAnsi="Cambria" w:cs="Times New Roman"/>
          <w:bCs/>
          <w:color w:val="000000"/>
        </w:rPr>
        <w:t xml:space="preserve"> Without Screen</w:t>
      </w:r>
      <w:r w:rsidR="00885822" w:rsidRPr="00020C67">
        <w:rPr>
          <w:rFonts w:ascii="Cambria" w:eastAsia="Times New Roman" w:hAnsi="Cambria" w:cs="Times New Roman"/>
          <w:bCs/>
          <w:color w:val="000000"/>
        </w:rPr>
        <w:t>-</w:t>
      </w:r>
      <w:r w:rsidR="00280868" w:rsidRPr="00020C67">
        <w:rPr>
          <w:rFonts w:ascii="Cambria" w:eastAsia="Times New Roman" w:hAnsi="Cambria" w:cs="Times New Roman"/>
          <w:bCs/>
          <w:color w:val="000000"/>
        </w:rPr>
        <w:t xml:space="preserve">Sharing arm, </w:t>
      </w:r>
      <w:r w:rsidR="00E36014" w:rsidRPr="00020C67">
        <w:rPr>
          <w:rFonts w:ascii="Cambria" w:eastAsia="Times New Roman" w:hAnsi="Cambria" w:cs="Times New Roman"/>
          <w:bCs/>
          <w:color w:val="000000"/>
        </w:rPr>
        <w:t>GCs</w:t>
      </w:r>
      <w:r w:rsidR="00280868" w:rsidRPr="00020C67">
        <w:rPr>
          <w:rFonts w:ascii="Cambria" w:eastAsia="Times New Roman" w:hAnsi="Cambria" w:cs="Times New Roman"/>
          <w:bCs/>
          <w:color w:val="000000"/>
        </w:rPr>
        <w:t xml:space="preserve"> will have the option to display standardized images </w:t>
      </w:r>
      <w:r w:rsidR="00280868" w:rsidRPr="00020C67">
        <w:rPr>
          <w:rFonts w:ascii="Cambria" w:eastAsia="Times New Roman" w:hAnsi="Cambria" w:cs="Times New Roman"/>
          <w:bCs/>
          <w:color w:val="000000"/>
          <w:u w:val="single"/>
        </w:rPr>
        <w:t>on paper</w:t>
      </w:r>
      <w:r w:rsidR="00280868" w:rsidRPr="00020C67">
        <w:rPr>
          <w:rFonts w:ascii="Cambria" w:eastAsia="Times New Roman" w:hAnsi="Cambria" w:cs="Times New Roman"/>
          <w:bCs/>
          <w:color w:val="000000"/>
        </w:rPr>
        <w:t xml:space="preserve"> to participants by holding up these images to the webcam for the participant to view. For participants randomized to the Tele</w:t>
      </w:r>
      <w:r w:rsidR="00A53B4A" w:rsidRPr="00020C67">
        <w:rPr>
          <w:rFonts w:ascii="Cambria" w:eastAsia="Times New Roman" w:hAnsi="Cambria" w:cs="Times New Roman"/>
          <w:bCs/>
          <w:color w:val="000000"/>
        </w:rPr>
        <w:t>health</w:t>
      </w:r>
      <w:r w:rsidR="00280868" w:rsidRPr="00020C67">
        <w:rPr>
          <w:rFonts w:ascii="Cambria" w:eastAsia="Times New Roman" w:hAnsi="Cambria" w:cs="Times New Roman"/>
          <w:bCs/>
          <w:color w:val="000000"/>
        </w:rPr>
        <w:t xml:space="preserve"> With Screen</w:t>
      </w:r>
      <w:r w:rsidR="00885822" w:rsidRPr="00020C67">
        <w:rPr>
          <w:rFonts w:ascii="Cambria" w:eastAsia="Times New Roman" w:hAnsi="Cambria" w:cs="Times New Roman"/>
          <w:bCs/>
          <w:color w:val="000000"/>
        </w:rPr>
        <w:t>-</w:t>
      </w:r>
      <w:r w:rsidR="00280868" w:rsidRPr="00020C67">
        <w:rPr>
          <w:rFonts w:ascii="Cambria" w:eastAsia="Times New Roman" w:hAnsi="Cambria" w:cs="Times New Roman"/>
          <w:bCs/>
          <w:color w:val="000000"/>
        </w:rPr>
        <w:t xml:space="preserve">Sharing arm, </w:t>
      </w:r>
      <w:r w:rsidR="00E36014" w:rsidRPr="00020C67">
        <w:rPr>
          <w:rFonts w:ascii="Cambria" w:eastAsia="Times New Roman" w:hAnsi="Cambria" w:cs="Times New Roman"/>
          <w:bCs/>
          <w:color w:val="000000"/>
        </w:rPr>
        <w:t>GCs</w:t>
      </w:r>
      <w:r w:rsidR="00280868" w:rsidRPr="00020C67">
        <w:rPr>
          <w:rFonts w:ascii="Cambria" w:eastAsia="Times New Roman" w:hAnsi="Cambria" w:cs="Times New Roman"/>
          <w:bCs/>
          <w:color w:val="000000"/>
        </w:rPr>
        <w:t xml:space="preserve"> will have the option to display </w:t>
      </w:r>
      <w:r w:rsidR="00E36014" w:rsidRPr="00020C67">
        <w:rPr>
          <w:rFonts w:ascii="Cambria" w:eastAsia="Times New Roman" w:hAnsi="Cambria" w:cs="Times New Roman"/>
          <w:bCs/>
          <w:color w:val="000000"/>
        </w:rPr>
        <w:t>digitized images and text from the GUÍA tool</w:t>
      </w:r>
      <w:r w:rsidR="00280868" w:rsidRPr="00020C67">
        <w:rPr>
          <w:rFonts w:ascii="Cambria" w:eastAsia="Times New Roman" w:hAnsi="Cambria" w:cs="Times New Roman"/>
          <w:bCs/>
          <w:color w:val="000000"/>
        </w:rPr>
        <w:t xml:space="preserve"> </w:t>
      </w:r>
      <w:r w:rsidR="000F3DF2" w:rsidRPr="00020C67">
        <w:rPr>
          <w:rFonts w:ascii="Cambria" w:eastAsia="Times New Roman" w:hAnsi="Cambria" w:cs="Times New Roman"/>
          <w:bCs/>
          <w:color w:val="000000"/>
        </w:rPr>
        <w:t>using screen sharing via tel</w:t>
      </w:r>
      <w:r w:rsidR="005A3DC7" w:rsidRPr="00020C67">
        <w:rPr>
          <w:rFonts w:ascii="Cambria" w:eastAsia="Times New Roman" w:hAnsi="Cambria" w:cs="Times New Roman"/>
          <w:bCs/>
          <w:color w:val="000000"/>
        </w:rPr>
        <w:t>econferencing</w:t>
      </w:r>
      <w:r w:rsidR="000F3DF2" w:rsidRPr="00020C67">
        <w:rPr>
          <w:rFonts w:ascii="Cambria" w:eastAsia="Times New Roman" w:hAnsi="Cambria" w:cs="Times New Roman"/>
          <w:bCs/>
          <w:color w:val="000000"/>
        </w:rPr>
        <w:t xml:space="preserve"> platform</w:t>
      </w:r>
      <w:r w:rsidR="00280868" w:rsidRPr="00020C67">
        <w:rPr>
          <w:rFonts w:ascii="Cambria" w:eastAsia="Times New Roman" w:hAnsi="Cambria" w:cs="Times New Roman"/>
          <w:bCs/>
          <w:color w:val="000000"/>
        </w:rPr>
        <w:t xml:space="preserve">. Images </w:t>
      </w:r>
      <w:r w:rsidR="000F3DF2" w:rsidRPr="00020C67">
        <w:rPr>
          <w:rFonts w:ascii="Cambria" w:eastAsia="Times New Roman" w:hAnsi="Cambria" w:cs="Times New Roman"/>
          <w:bCs/>
          <w:color w:val="000000"/>
        </w:rPr>
        <w:t xml:space="preserve">available to be </w:t>
      </w:r>
      <w:r w:rsidR="00280868" w:rsidRPr="00020C67">
        <w:rPr>
          <w:rFonts w:ascii="Cambria" w:eastAsia="Times New Roman" w:hAnsi="Cambria" w:cs="Times New Roman"/>
          <w:bCs/>
          <w:color w:val="000000"/>
        </w:rPr>
        <w:t xml:space="preserve">displayed during the baseline visit </w:t>
      </w:r>
      <w:r w:rsidR="000F3DF2" w:rsidRPr="00020C67">
        <w:rPr>
          <w:rFonts w:ascii="Cambria" w:eastAsia="Times New Roman" w:hAnsi="Cambria" w:cs="Times New Roman"/>
          <w:bCs/>
          <w:color w:val="000000"/>
        </w:rPr>
        <w:t xml:space="preserve">will be the same for both arms </w:t>
      </w:r>
      <w:r w:rsidR="000F3DF2" w:rsidRPr="00020C67">
        <w:rPr>
          <w:rFonts w:ascii="Cambria" w:eastAsia="Times New Roman" w:hAnsi="Cambria" w:cs="Times New Roman"/>
          <w:bCs/>
          <w:color w:val="000000"/>
        </w:rPr>
        <w:lastRenderedPageBreak/>
        <w:t xml:space="preserve">and </w:t>
      </w:r>
      <w:r w:rsidR="00280868" w:rsidRPr="00020C67">
        <w:rPr>
          <w:rFonts w:ascii="Cambria" w:eastAsia="Times New Roman" w:hAnsi="Cambria" w:cs="Times New Roman"/>
          <w:bCs/>
          <w:color w:val="000000"/>
        </w:rPr>
        <w:t xml:space="preserve">must be approved by the study </w:t>
      </w:r>
      <w:r w:rsidR="00381047">
        <w:rPr>
          <w:rFonts w:ascii="Cambria" w:eastAsia="Times New Roman" w:hAnsi="Cambria" w:cs="Times New Roman"/>
          <w:bCs/>
          <w:color w:val="000000"/>
        </w:rPr>
        <w:t>GC</w:t>
      </w:r>
      <w:r w:rsidR="00280868" w:rsidRPr="00020C67">
        <w:rPr>
          <w:rFonts w:ascii="Cambria" w:eastAsia="Times New Roman" w:hAnsi="Cambria" w:cs="Times New Roman"/>
          <w:bCs/>
          <w:color w:val="000000"/>
        </w:rPr>
        <w:t xml:space="preserve"> team</w:t>
      </w:r>
      <w:r w:rsidR="000F3DF2" w:rsidRPr="00020C67">
        <w:rPr>
          <w:rFonts w:ascii="Cambria" w:eastAsia="Times New Roman" w:hAnsi="Cambria" w:cs="Times New Roman"/>
          <w:bCs/>
          <w:color w:val="000000"/>
        </w:rPr>
        <w:t xml:space="preserve"> before use</w:t>
      </w:r>
      <w:r w:rsidRPr="00020C67">
        <w:rPr>
          <w:rFonts w:ascii="Cambria" w:eastAsia="Times New Roman" w:hAnsi="Cambria" w:cs="Times New Roman"/>
          <w:bCs/>
          <w:color w:val="000000"/>
        </w:rPr>
        <w:t>.</w:t>
      </w:r>
      <w:r w:rsidR="00770204" w:rsidRPr="00381CE7">
        <w:rPr>
          <w:rFonts w:ascii="Cambria" w:eastAsia="Times New Roman" w:hAnsi="Cambria" w:cs="Times New Roman"/>
          <w:b/>
          <w:bCs/>
          <w:color w:val="000000"/>
        </w:rPr>
        <w:t xml:space="preserve"> </w:t>
      </w:r>
      <w:r w:rsidRPr="00381047">
        <w:rPr>
          <w:rFonts w:ascii="Cambria" w:eastAsia="Times New Roman" w:hAnsi="Cambria" w:cs="Times New Roman"/>
          <w:color w:val="000000"/>
        </w:rPr>
        <w:t xml:space="preserve">As part of the pre-test genetic counseling, the </w:t>
      </w:r>
      <w:r w:rsidR="00E36014" w:rsidRPr="00381047">
        <w:rPr>
          <w:rFonts w:ascii="Cambria" w:eastAsia="Times New Roman" w:hAnsi="Cambria" w:cs="Times New Roman"/>
          <w:color w:val="000000"/>
        </w:rPr>
        <w:t>GC</w:t>
      </w:r>
      <w:r w:rsidRPr="00485E38">
        <w:rPr>
          <w:rFonts w:ascii="Cambria" w:eastAsia="Times New Roman" w:hAnsi="Cambria" w:cs="Times New Roman"/>
          <w:color w:val="000000"/>
        </w:rPr>
        <w:t xml:space="preserve"> will obtain a medical and family history. They will then provide education on the type and purpose of genomic testing, possible results of genomic testing, and potential implications for other family members. </w:t>
      </w:r>
      <w:r w:rsidR="00E36014" w:rsidRPr="00485E38">
        <w:rPr>
          <w:rFonts w:ascii="Cambria" w:eastAsia="Times New Roman" w:hAnsi="Cambria" w:cs="Times New Roman"/>
          <w:color w:val="000000"/>
        </w:rPr>
        <w:t>GCs</w:t>
      </w:r>
      <w:r w:rsidRPr="00485E38">
        <w:rPr>
          <w:rFonts w:ascii="Cambria" w:eastAsia="Times New Roman" w:hAnsi="Cambria" w:cs="Times New Roman"/>
          <w:color w:val="000000"/>
        </w:rPr>
        <w:t xml:space="preserve"> will also describe the potential to identify </w:t>
      </w:r>
      <w:r w:rsidR="00E36014" w:rsidRPr="00485E38">
        <w:rPr>
          <w:rFonts w:ascii="Cambria" w:eastAsia="Times New Roman" w:hAnsi="Cambria" w:cs="Times New Roman"/>
          <w:color w:val="000000"/>
        </w:rPr>
        <w:t>American College of Medical Genetics (</w:t>
      </w:r>
      <w:r w:rsidRPr="00485E38">
        <w:rPr>
          <w:rFonts w:ascii="Cambria" w:eastAsia="Times New Roman" w:hAnsi="Cambria" w:cs="Times New Roman"/>
          <w:color w:val="000000"/>
        </w:rPr>
        <w:t>ACMG</w:t>
      </w:r>
      <w:r w:rsidR="00E36014" w:rsidRPr="00485E38">
        <w:rPr>
          <w:rFonts w:ascii="Cambria" w:eastAsia="Times New Roman" w:hAnsi="Cambria" w:cs="Times New Roman"/>
          <w:color w:val="000000"/>
        </w:rPr>
        <w:t>)</w:t>
      </w:r>
      <w:r w:rsidRPr="00485E38">
        <w:rPr>
          <w:rFonts w:ascii="Cambria" w:eastAsia="Times New Roman" w:hAnsi="Cambria" w:cs="Times New Roman"/>
          <w:color w:val="000000"/>
        </w:rPr>
        <w:t xml:space="preserve"> secondary findings</w:t>
      </w:r>
      <w:r w:rsidRPr="00020C67">
        <w:rPr>
          <w:rFonts w:ascii="Cambria" w:eastAsia="Times New Roman" w:hAnsi="Cambria" w:cs="Times New Roman"/>
          <w:color w:val="000000"/>
          <w:vertAlign w:val="superscript"/>
        </w:rPr>
        <w:t>22</w:t>
      </w:r>
      <w:r w:rsidRPr="009D7DDD">
        <w:rPr>
          <w:rFonts w:ascii="Cambria" w:eastAsia="Times New Roman" w:hAnsi="Cambria" w:cs="Times New Roman"/>
          <w:color w:val="000000"/>
        </w:rPr>
        <w:t xml:space="preserve"> (</w:t>
      </w:r>
      <w:r w:rsidRPr="00381CE7">
        <w:rPr>
          <w:rFonts w:ascii="Cambria" w:eastAsia="Times New Roman" w:hAnsi="Cambria" w:cs="Times New Roman"/>
          <w:i/>
          <w:iCs/>
          <w:color w:val="000000"/>
        </w:rPr>
        <w:t>i.e</w:t>
      </w:r>
      <w:r w:rsidRPr="00381CE7">
        <w:rPr>
          <w:rFonts w:ascii="Cambria" w:eastAsia="Times New Roman" w:hAnsi="Cambria" w:cs="Times New Roman"/>
          <w:color w:val="000000"/>
        </w:rPr>
        <w:t>., a published list of 59 medically actionable genes; mutations in one of more of these genes may be identified by genomic sequencing and may have medical implications for the patient and family). Consistent with ACMG guidelines for pediatrics,</w:t>
      </w:r>
      <w:r w:rsidRPr="00020C67">
        <w:rPr>
          <w:rFonts w:ascii="Cambria" w:eastAsia="Times New Roman" w:hAnsi="Cambria" w:cs="Times New Roman"/>
          <w:color w:val="000000"/>
          <w:vertAlign w:val="superscript"/>
        </w:rPr>
        <w:t>23</w:t>
      </w:r>
      <w:r w:rsidRPr="009D7DDD">
        <w:rPr>
          <w:rFonts w:ascii="Cambria" w:eastAsia="Times New Roman" w:hAnsi="Cambria" w:cs="Times New Roman"/>
          <w:color w:val="000000"/>
        </w:rPr>
        <w:t xml:space="preserve"> participants will have the option to choose whether or not they want to receive those results. The </w:t>
      </w:r>
      <w:r w:rsidR="00E36014" w:rsidRPr="00381CE7">
        <w:rPr>
          <w:rFonts w:ascii="Cambria" w:eastAsia="Times New Roman" w:hAnsi="Cambria" w:cs="Times New Roman"/>
          <w:color w:val="000000"/>
        </w:rPr>
        <w:t>GC</w:t>
      </w:r>
      <w:r w:rsidRPr="00381CE7">
        <w:rPr>
          <w:rFonts w:ascii="Cambria" w:eastAsia="Times New Roman" w:hAnsi="Cambria" w:cs="Times New Roman"/>
          <w:color w:val="000000"/>
        </w:rPr>
        <w:t xml:space="preserve"> will also review the risks of sharing genomic data through dbGaP, as well as current protections against discrimination based on genetic information established by GINA (Genetic Information Nondiscrimination Act). At the end of the Baseline Visit, the CRC will send the family with a $20 gift card either electronically or by post.</w:t>
      </w:r>
    </w:p>
    <w:p w14:paraId="76BCB521" w14:textId="77777777" w:rsidR="00A95DF0" w:rsidRPr="00020C67" w:rsidRDefault="00A95DF0" w:rsidP="00020C67">
      <w:pPr>
        <w:spacing w:after="0" w:line="240" w:lineRule="auto"/>
        <w:ind w:right="58"/>
        <w:jc w:val="both"/>
        <w:rPr>
          <w:rFonts w:ascii="Cambria" w:eastAsia="Times New Roman" w:hAnsi="Cambria" w:cs="Times New Roman"/>
        </w:rPr>
      </w:pPr>
      <w:r w:rsidRPr="009D7DDD">
        <w:rPr>
          <w:rFonts w:ascii="Cambria" w:eastAsia="Times New Roman" w:hAnsi="Cambria" w:cs="Times New Roman"/>
          <w:color w:val="000000"/>
        </w:rPr>
        <w:t> </w:t>
      </w:r>
    </w:p>
    <w:p w14:paraId="407DAED8" w14:textId="659F1075" w:rsidR="00A95DF0" w:rsidRPr="00485E38" w:rsidRDefault="00A95DF0" w:rsidP="00020C67">
      <w:pPr>
        <w:spacing w:after="0" w:line="240" w:lineRule="auto"/>
        <w:jc w:val="both"/>
        <w:rPr>
          <w:rFonts w:ascii="Cambria" w:eastAsia="Times New Roman" w:hAnsi="Cambria" w:cs="Times New Roman"/>
          <w:color w:val="000000"/>
        </w:rPr>
      </w:pPr>
      <w:r w:rsidRPr="009D7DDD">
        <w:rPr>
          <w:rFonts w:ascii="Cambria" w:eastAsia="Times New Roman" w:hAnsi="Cambria" w:cs="Times New Roman"/>
          <w:b/>
          <w:bCs/>
          <w:color w:val="000000"/>
        </w:rPr>
        <w:t>Sample collection and processing</w:t>
      </w:r>
      <w:r w:rsidRPr="00381CE7">
        <w:rPr>
          <w:rFonts w:ascii="Cambria" w:eastAsia="Times New Roman" w:hAnsi="Cambria" w:cs="Times New Roman"/>
          <w:color w:val="000000"/>
        </w:rPr>
        <w:t xml:space="preserve">: We will have several modes of collecting samples for this testing. Samples (whole blood, saliva, or buccal swab) will be collected from study participants, including from each available biological parent, to assist with interpretation of genomic results. We will not obtain samples from legal </w:t>
      </w:r>
      <w:r w:rsidRPr="00485E38">
        <w:rPr>
          <w:rFonts w:ascii="Cambria" w:eastAsia="Times New Roman" w:hAnsi="Cambria" w:cs="Times New Roman"/>
          <w:color w:val="000000"/>
        </w:rPr>
        <w:t>guardians who are not biological parents. </w:t>
      </w:r>
    </w:p>
    <w:p w14:paraId="22475436" w14:textId="25767130" w:rsidR="006C053D" w:rsidRPr="00020C67" w:rsidRDefault="006C053D" w:rsidP="00020C67">
      <w:pPr>
        <w:spacing w:after="0" w:line="240" w:lineRule="auto"/>
        <w:jc w:val="both"/>
        <w:rPr>
          <w:rFonts w:ascii="Cambria" w:eastAsia="Times New Roman" w:hAnsi="Cambria" w:cs="Times New Roman"/>
        </w:rPr>
      </w:pPr>
    </w:p>
    <w:p w14:paraId="4BE1028C" w14:textId="44369F75" w:rsidR="006C053D" w:rsidRPr="00020C67" w:rsidRDefault="005E67E7" w:rsidP="00020C67">
      <w:pPr>
        <w:spacing w:after="0" w:line="240" w:lineRule="auto"/>
        <w:jc w:val="both"/>
        <w:rPr>
          <w:rFonts w:ascii="Cambria" w:eastAsia="Times New Roman" w:hAnsi="Cambria" w:cs="Times New Roman"/>
        </w:rPr>
      </w:pPr>
      <w:r w:rsidRPr="00020C67">
        <w:rPr>
          <w:rFonts w:ascii="Cambria" w:eastAsia="Times New Roman" w:hAnsi="Cambria" w:cs="Times New Roman"/>
        </w:rPr>
        <w:t xml:space="preserve">Sample collection method will be determined </w:t>
      </w:r>
      <w:r w:rsidR="008A3D62" w:rsidRPr="00020C67">
        <w:rPr>
          <w:rFonts w:ascii="Cambria" w:eastAsia="Times New Roman" w:hAnsi="Cambria" w:cs="Times New Roman"/>
        </w:rPr>
        <w:t xml:space="preserve">on a case by case basis as a part of </w:t>
      </w:r>
      <w:r w:rsidR="006C053D" w:rsidRPr="00020C67">
        <w:rPr>
          <w:rFonts w:ascii="Cambria" w:eastAsia="Times New Roman" w:hAnsi="Cambria" w:cs="Times New Roman"/>
        </w:rPr>
        <w:t xml:space="preserve">the </w:t>
      </w:r>
      <w:r w:rsidRPr="00020C67">
        <w:rPr>
          <w:rFonts w:ascii="Cambria" w:eastAsia="Times New Roman" w:hAnsi="Cambria" w:cs="Times New Roman"/>
        </w:rPr>
        <w:t xml:space="preserve">“Telehealth Access and </w:t>
      </w:r>
      <w:r w:rsidR="006C053D" w:rsidRPr="00020C67">
        <w:rPr>
          <w:rFonts w:ascii="Cambria" w:eastAsia="Times New Roman" w:hAnsi="Cambria" w:cs="Times New Roman"/>
        </w:rPr>
        <w:t>Sample Collection screener</w:t>
      </w:r>
      <w:r w:rsidRPr="00020C67">
        <w:rPr>
          <w:rFonts w:ascii="Cambria" w:eastAsia="Times New Roman" w:hAnsi="Cambria" w:cs="Times New Roman"/>
        </w:rPr>
        <w:t>”</w:t>
      </w:r>
      <w:r w:rsidR="008A3D62" w:rsidRPr="00020C67">
        <w:rPr>
          <w:rFonts w:ascii="Cambria" w:eastAsia="Times New Roman" w:hAnsi="Cambria" w:cs="Times New Roman"/>
        </w:rPr>
        <w:t xml:space="preserve"> that will be completed with the CRC before the first study visit.</w:t>
      </w:r>
      <w:r w:rsidR="006C053D" w:rsidRPr="00020C67">
        <w:rPr>
          <w:rFonts w:ascii="Cambria" w:eastAsia="Times New Roman" w:hAnsi="Cambria" w:cs="Times New Roman"/>
        </w:rPr>
        <w:t xml:space="preserve"> </w:t>
      </w:r>
      <w:r w:rsidR="008A3D62" w:rsidRPr="00020C67">
        <w:rPr>
          <w:rFonts w:ascii="Cambria" w:eastAsia="Times New Roman" w:hAnsi="Cambria" w:cs="Times New Roman"/>
        </w:rPr>
        <w:t xml:space="preserve">This will determine the participant and family’s 1) ability to complete a saliva collection from home and 2) preference for sample collection. Outlined below are the procedures for each sample collection method. </w:t>
      </w:r>
    </w:p>
    <w:p w14:paraId="30A9780D" w14:textId="77777777" w:rsidR="00A95DF0" w:rsidRPr="00020C67" w:rsidRDefault="00A95DF0" w:rsidP="00020C67">
      <w:pPr>
        <w:spacing w:after="0" w:line="240" w:lineRule="auto"/>
        <w:jc w:val="both"/>
        <w:rPr>
          <w:rFonts w:ascii="Cambria" w:eastAsia="Times New Roman" w:hAnsi="Cambria" w:cs="Times New Roman"/>
        </w:rPr>
      </w:pPr>
    </w:p>
    <w:p w14:paraId="706F4D8E" w14:textId="09C32567" w:rsidR="00A95DF0" w:rsidRPr="00020C67" w:rsidRDefault="00A95DF0" w:rsidP="00020C67">
      <w:pPr>
        <w:spacing w:after="0" w:line="240" w:lineRule="auto"/>
        <w:jc w:val="both"/>
        <w:rPr>
          <w:rFonts w:ascii="Cambria" w:eastAsia="Times New Roman" w:hAnsi="Cambria" w:cs="Times New Roman"/>
          <w:i/>
          <w:u w:val="single"/>
        </w:rPr>
      </w:pPr>
      <w:r w:rsidRPr="00020C67">
        <w:rPr>
          <w:rFonts w:ascii="Cambria" w:eastAsia="Times New Roman" w:hAnsi="Cambria" w:cs="Times New Roman"/>
          <w:i/>
          <w:color w:val="000000"/>
          <w:u w:val="single"/>
        </w:rPr>
        <w:t>Whole Blood Collection</w:t>
      </w:r>
      <w:r w:rsidR="008A3D62" w:rsidRPr="00020C67">
        <w:rPr>
          <w:rFonts w:ascii="Cambria" w:eastAsia="Times New Roman" w:hAnsi="Cambria" w:cs="Times New Roman"/>
          <w:i/>
          <w:color w:val="000000"/>
          <w:u w:val="single"/>
        </w:rPr>
        <w:t>:</w:t>
      </w:r>
    </w:p>
    <w:p w14:paraId="7F522A89" w14:textId="2DB910C8" w:rsidR="008A3D62" w:rsidRPr="009D7DDD" w:rsidRDefault="008A3D62" w:rsidP="00020C67">
      <w:pPr>
        <w:spacing w:after="0" w:line="240" w:lineRule="auto"/>
        <w:jc w:val="both"/>
        <w:rPr>
          <w:rFonts w:ascii="Cambria" w:eastAsia="Times New Roman" w:hAnsi="Cambria" w:cs="Times New Roman"/>
          <w:color w:val="000000"/>
        </w:rPr>
      </w:pPr>
      <w:r w:rsidRPr="00020C67">
        <w:rPr>
          <w:rFonts w:ascii="Cambria" w:eastAsia="Times New Roman" w:hAnsi="Cambria" w:cs="Times New Roman"/>
        </w:rPr>
        <w:t xml:space="preserve">If the family opts for a blood draw and/or if the child is unable to cooperate for the completion of a saliva sampling kit, we will coordinate a blood draw to occur within three weeks of the baseline telehealth appointment. Should the participant not arrive to clinic within three weeks for a blood draw, this will be considered a withdrawal from the study.  </w:t>
      </w:r>
    </w:p>
    <w:p w14:paraId="51937059" w14:textId="77777777" w:rsidR="00E338DA" w:rsidRPr="00381CE7" w:rsidRDefault="00E338DA" w:rsidP="00020C67">
      <w:pPr>
        <w:spacing w:after="0" w:line="240" w:lineRule="auto"/>
        <w:jc w:val="both"/>
        <w:rPr>
          <w:rFonts w:ascii="Cambria" w:eastAsia="Times New Roman" w:hAnsi="Cambria" w:cs="Times New Roman"/>
          <w:color w:val="000000"/>
        </w:rPr>
      </w:pPr>
    </w:p>
    <w:p w14:paraId="78FF41AF" w14:textId="3C3E1129" w:rsidR="00A95DF0" w:rsidRPr="00020C67" w:rsidRDefault="00A95DF0" w:rsidP="00020C67">
      <w:pPr>
        <w:spacing w:after="0" w:line="240" w:lineRule="auto"/>
        <w:jc w:val="both"/>
        <w:rPr>
          <w:rFonts w:ascii="Cambria" w:eastAsia="Times New Roman" w:hAnsi="Cambria" w:cs="Times New Roman"/>
        </w:rPr>
      </w:pPr>
      <w:r w:rsidRPr="00485E38">
        <w:rPr>
          <w:rFonts w:ascii="Cambria" w:eastAsia="Times New Roman" w:hAnsi="Cambria" w:cs="Times New Roman"/>
          <w:color w:val="000000"/>
        </w:rPr>
        <w:t>After collection, blood samples from each patient will be labelled/bar-coded on site and ordered via paper requisitions.</w:t>
      </w:r>
      <w:r w:rsidR="006C053D" w:rsidRPr="00485E38">
        <w:rPr>
          <w:rFonts w:ascii="Cambria" w:eastAsia="Times New Roman" w:hAnsi="Cambria" w:cs="Times New Roman"/>
          <w:color w:val="000000"/>
        </w:rPr>
        <w:t xml:space="preserve"> </w:t>
      </w:r>
      <w:r w:rsidR="006E697E" w:rsidRPr="00485E38">
        <w:rPr>
          <w:rFonts w:ascii="Cambria" w:eastAsia="Times New Roman" w:hAnsi="Cambria" w:cs="Times New Roman"/>
          <w:color w:val="000000"/>
        </w:rPr>
        <w:t xml:space="preserve">Samples </w:t>
      </w:r>
      <w:r w:rsidRPr="00485E38">
        <w:rPr>
          <w:rFonts w:ascii="Cambria" w:eastAsia="Times New Roman" w:hAnsi="Cambria" w:cs="Times New Roman"/>
          <w:color w:val="000000"/>
        </w:rPr>
        <w:t>will be mailed to</w:t>
      </w:r>
      <w:r w:rsidR="006E697E" w:rsidRPr="00485E38">
        <w:rPr>
          <w:rFonts w:ascii="Cambria" w:eastAsia="Times New Roman" w:hAnsi="Cambria" w:cs="Times New Roman"/>
          <w:color w:val="000000"/>
        </w:rPr>
        <w:t xml:space="preserve"> the New York Genome Center (NYGC</w:t>
      </w:r>
      <w:r w:rsidR="00AA045F" w:rsidRPr="00485E38">
        <w:rPr>
          <w:rFonts w:ascii="Cambria" w:eastAsia="Times New Roman" w:hAnsi="Cambria" w:cs="Times New Roman"/>
          <w:color w:val="000000"/>
        </w:rPr>
        <w:t>) L</w:t>
      </w:r>
      <w:r w:rsidRPr="00485E38">
        <w:rPr>
          <w:rFonts w:ascii="Cambria" w:eastAsia="Times New Roman" w:hAnsi="Cambria" w:cs="Times New Roman"/>
          <w:color w:val="000000"/>
        </w:rPr>
        <w:t>aboratory using pre-labeled FedEx packaging.</w:t>
      </w:r>
    </w:p>
    <w:p w14:paraId="7387D593" w14:textId="77777777" w:rsidR="00A95DF0" w:rsidRPr="00020C67" w:rsidRDefault="00A95DF0" w:rsidP="00020C67">
      <w:pPr>
        <w:spacing w:after="0" w:line="240" w:lineRule="auto"/>
        <w:jc w:val="both"/>
        <w:rPr>
          <w:rFonts w:ascii="Cambria" w:eastAsia="Times New Roman" w:hAnsi="Cambria" w:cs="Times New Roman"/>
        </w:rPr>
      </w:pPr>
    </w:p>
    <w:p w14:paraId="3D19641C" w14:textId="5D55EC77" w:rsidR="00A95DF0" w:rsidRPr="00020C67" w:rsidRDefault="00A95DF0" w:rsidP="00020C67">
      <w:pPr>
        <w:spacing w:after="0" w:line="240" w:lineRule="auto"/>
        <w:jc w:val="both"/>
        <w:rPr>
          <w:rFonts w:ascii="Cambria" w:eastAsia="Times New Roman" w:hAnsi="Cambria" w:cs="Times New Roman"/>
          <w:i/>
          <w:u w:val="single"/>
        </w:rPr>
      </w:pPr>
      <w:r w:rsidRPr="00020C67">
        <w:rPr>
          <w:rFonts w:ascii="Cambria" w:eastAsia="Times New Roman" w:hAnsi="Cambria" w:cs="Times New Roman"/>
          <w:i/>
          <w:color w:val="000000"/>
          <w:u w:val="single"/>
        </w:rPr>
        <w:t>Saliva Collection</w:t>
      </w:r>
      <w:r w:rsidR="00885822" w:rsidRPr="00020C67">
        <w:rPr>
          <w:rFonts w:ascii="Cambria" w:eastAsia="Times New Roman" w:hAnsi="Cambria" w:cs="Times New Roman"/>
          <w:i/>
          <w:color w:val="000000"/>
          <w:u w:val="single"/>
        </w:rPr>
        <w:t>:</w:t>
      </w:r>
    </w:p>
    <w:p w14:paraId="12225BD1" w14:textId="18557BAB"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Child and biological parents may opt to receive saliva kits mailed to their home for saliv</w:t>
      </w:r>
      <w:r w:rsidRPr="00381CE7">
        <w:rPr>
          <w:rFonts w:ascii="Cambria" w:eastAsia="Times New Roman" w:hAnsi="Cambria" w:cs="Times New Roman"/>
          <w:color w:val="000000"/>
        </w:rPr>
        <w:t xml:space="preserve">a collection. Families will receive </w:t>
      </w:r>
      <w:r w:rsidR="00E2126C">
        <w:rPr>
          <w:rFonts w:ascii="Cambria" w:eastAsia="Times New Roman" w:hAnsi="Cambria" w:cs="Times New Roman"/>
          <w:color w:val="000000"/>
        </w:rPr>
        <w:t xml:space="preserve">a pre-addressed package and instructions </w:t>
      </w:r>
      <w:r w:rsidRPr="00381CE7">
        <w:rPr>
          <w:rFonts w:ascii="Cambria" w:eastAsia="Times New Roman" w:hAnsi="Cambria" w:cs="Times New Roman"/>
          <w:color w:val="000000"/>
        </w:rPr>
        <w:t xml:space="preserve">to mail saliva samples </w:t>
      </w:r>
      <w:r w:rsidR="005E67E7" w:rsidRPr="00381CE7">
        <w:rPr>
          <w:rFonts w:ascii="Cambria" w:eastAsia="Times New Roman" w:hAnsi="Cambria" w:cs="Times New Roman"/>
          <w:color w:val="000000"/>
        </w:rPr>
        <w:t xml:space="preserve">to </w:t>
      </w:r>
      <w:r w:rsidR="002E4320" w:rsidRPr="009D7DDD">
        <w:rPr>
          <w:rFonts w:ascii="Cambria" w:eastAsia="Times New Roman" w:hAnsi="Cambria" w:cs="Times New Roman"/>
          <w:color w:val="000000"/>
        </w:rPr>
        <w:t>the N</w:t>
      </w:r>
      <w:r w:rsidR="002E4320" w:rsidRPr="00381CE7">
        <w:rPr>
          <w:rFonts w:ascii="Cambria" w:eastAsia="Times New Roman" w:hAnsi="Cambria" w:cs="Times New Roman"/>
          <w:color w:val="000000"/>
        </w:rPr>
        <w:t xml:space="preserve">YGC </w:t>
      </w:r>
      <w:r w:rsidR="005E67E7" w:rsidRPr="00381CE7">
        <w:rPr>
          <w:rFonts w:ascii="Cambria" w:eastAsia="Times New Roman" w:hAnsi="Cambria" w:cs="Times New Roman"/>
          <w:color w:val="000000"/>
        </w:rPr>
        <w:t>laboratory.</w:t>
      </w:r>
    </w:p>
    <w:p w14:paraId="4B292C01" w14:textId="77777777" w:rsidR="00A95DF0" w:rsidRPr="00020C67" w:rsidRDefault="00A95DF0" w:rsidP="00020C67">
      <w:pPr>
        <w:spacing w:after="0" w:line="240" w:lineRule="auto"/>
        <w:jc w:val="both"/>
        <w:rPr>
          <w:rFonts w:ascii="Cambria" w:eastAsia="Times New Roman" w:hAnsi="Cambria" w:cs="Times New Roman"/>
        </w:rPr>
      </w:pPr>
    </w:p>
    <w:p w14:paraId="0589FC5B" w14:textId="445D7C74" w:rsidR="00A95DF0" w:rsidRPr="00020C67" w:rsidRDefault="00A95DF0" w:rsidP="00020C67">
      <w:pPr>
        <w:spacing w:after="0" w:line="240" w:lineRule="auto"/>
        <w:jc w:val="both"/>
        <w:rPr>
          <w:rFonts w:ascii="Cambria" w:eastAsia="Times New Roman" w:hAnsi="Cambria" w:cs="Times New Roman"/>
          <w:i/>
          <w:u w:val="single"/>
        </w:rPr>
      </w:pPr>
      <w:r w:rsidRPr="00020C67">
        <w:rPr>
          <w:rFonts w:ascii="Cambria" w:eastAsia="Times New Roman" w:hAnsi="Cambria" w:cs="Times New Roman"/>
          <w:i/>
          <w:color w:val="000000"/>
          <w:u w:val="single"/>
        </w:rPr>
        <w:t>Buccal Swab Collection</w:t>
      </w:r>
      <w:r w:rsidR="00885822" w:rsidRPr="00020C67">
        <w:rPr>
          <w:rFonts w:ascii="Cambria" w:eastAsia="Times New Roman" w:hAnsi="Cambria" w:cs="Times New Roman"/>
          <w:i/>
          <w:color w:val="000000"/>
          <w:u w:val="single"/>
        </w:rPr>
        <w:t>:</w:t>
      </w:r>
    </w:p>
    <w:p w14:paraId="19A2E84E" w14:textId="55B6F00A"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Similar to saliva sample collection, buccal swab kits will be mailed to the participants’ home for buccal cel</w:t>
      </w:r>
      <w:r w:rsidRPr="00381CE7">
        <w:rPr>
          <w:rFonts w:ascii="Cambria" w:eastAsia="Times New Roman" w:hAnsi="Cambria" w:cs="Times New Roman"/>
          <w:color w:val="000000"/>
        </w:rPr>
        <w:t xml:space="preserve">l collection. Families will </w:t>
      </w:r>
      <w:r w:rsidR="00E2126C">
        <w:rPr>
          <w:rFonts w:ascii="Cambria" w:eastAsia="Times New Roman" w:hAnsi="Cambria" w:cs="Times New Roman"/>
          <w:color w:val="000000"/>
        </w:rPr>
        <w:t xml:space="preserve">receive a pre-addressed package and instructions </w:t>
      </w:r>
      <w:r w:rsidR="00E2126C" w:rsidRPr="00381CE7">
        <w:rPr>
          <w:rFonts w:ascii="Cambria" w:eastAsia="Times New Roman" w:hAnsi="Cambria" w:cs="Times New Roman"/>
          <w:color w:val="000000"/>
        </w:rPr>
        <w:t xml:space="preserve">to mail saliva samples to </w:t>
      </w:r>
      <w:r w:rsidR="00E2126C" w:rsidRPr="009D7DDD">
        <w:rPr>
          <w:rFonts w:ascii="Cambria" w:eastAsia="Times New Roman" w:hAnsi="Cambria" w:cs="Times New Roman"/>
          <w:color w:val="000000"/>
        </w:rPr>
        <w:t>the N</w:t>
      </w:r>
      <w:r w:rsidR="00E2126C" w:rsidRPr="00381CE7">
        <w:rPr>
          <w:rFonts w:ascii="Cambria" w:eastAsia="Times New Roman" w:hAnsi="Cambria" w:cs="Times New Roman"/>
          <w:color w:val="000000"/>
        </w:rPr>
        <w:t>YGC laboratory</w:t>
      </w:r>
      <w:r w:rsidR="005E67E7" w:rsidRPr="00381047">
        <w:rPr>
          <w:rFonts w:ascii="Cambria" w:eastAsia="Times New Roman" w:hAnsi="Cambria" w:cs="Times New Roman"/>
          <w:color w:val="000000"/>
        </w:rPr>
        <w:t>.</w:t>
      </w:r>
    </w:p>
    <w:p w14:paraId="19B6C97C" w14:textId="77777777" w:rsidR="00A95DF0" w:rsidRPr="00020C67" w:rsidRDefault="00A95DF0" w:rsidP="00020C67">
      <w:pPr>
        <w:spacing w:after="0" w:line="240" w:lineRule="auto"/>
        <w:jc w:val="both"/>
        <w:rPr>
          <w:rFonts w:ascii="Cambria" w:eastAsia="Times New Roman" w:hAnsi="Cambria" w:cs="Times New Roman"/>
        </w:rPr>
      </w:pPr>
    </w:p>
    <w:p w14:paraId="145C6906" w14:textId="66238E31"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For families, who elect to provide saliva/buccal swab samples, the </w:t>
      </w:r>
      <w:r w:rsidR="002E4320" w:rsidRPr="00381CE7">
        <w:rPr>
          <w:rFonts w:ascii="Cambria" w:eastAsia="Times New Roman" w:hAnsi="Cambria" w:cs="Times New Roman"/>
          <w:color w:val="000000"/>
        </w:rPr>
        <w:t>GC</w:t>
      </w:r>
      <w:r w:rsidRPr="00381CE7">
        <w:rPr>
          <w:rFonts w:ascii="Cambria" w:eastAsia="Times New Roman" w:hAnsi="Cambria" w:cs="Times New Roman"/>
          <w:color w:val="000000"/>
        </w:rPr>
        <w:t xml:space="preserve"> will explain the process of sample collection during the pre-test visit. A hard copy with instructions and link to videos demonstrating the collection. </w:t>
      </w:r>
      <w:r w:rsidRPr="00381CE7">
        <w:rPr>
          <w:rFonts w:ascii="Cambria" w:eastAsia="Times New Roman" w:hAnsi="Cambria" w:cs="Times New Roman"/>
          <w:i/>
          <w:iCs/>
          <w:color w:val="000000"/>
        </w:rPr>
        <w:t>E.g</w:t>
      </w:r>
      <w:r w:rsidRPr="00381047">
        <w:rPr>
          <w:rFonts w:ascii="Cambria" w:eastAsia="Times New Roman" w:hAnsi="Cambria" w:cs="Times New Roman"/>
          <w:color w:val="000000"/>
        </w:rPr>
        <w:t xml:space="preserve">.: buccal swab </w:t>
      </w:r>
      <w:hyperlink r:id="rId13" w:history="1">
        <w:r w:rsidRPr="00485E38">
          <w:rPr>
            <w:rFonts w:ascii="Cambria" w:eastAsia="Times New Roman" w:hAnsi="Cambria" w:cs="Times New Roman"/>
            <w:color w:val="1155CC"/>
            <w:u w:val="single"/>
          </w:rPr>
          <w:t>https://www.youtube.com/watch?v=azj5b0vA2Hk</w:t>
        </w:r>
      </w:hyperlink>
      <w:r w:rsidRPr="009D7DDD">
        <w:rPr>
          <w:rFonts w:ascii="Cambria" w:eastAsia="Times New Roman" w:hAnsi="Cambria" w:cs="Times New Roman"/>
          <w:color w:val="000000"/>
        </w:rPr>
        <w:t xml:space="preserve">; saliva </w:t>
      </w:r>
      <w:hyperlink r:id="rId14" w:history="1">
        <w:r w:rsidRPr="00485E38">
          <w:rPr>
            <w:rFonts w:ascii="Cambria" w:eastAsia="Times New Roman" w:hAnsi="Cambria" w:cs="Times New Roman"/>
            <w:color w:val="1155CC"/>
            <w:u w:val="single"/>
          </w:rPr>
          <w:t>https://www.youtube.com/watch?v=tNHY3f_dExA</w:t>
        </w:r>
      </w:hyperlink>
    </w:p>
    <w:p w14:paraId="7A92261C" w14:textId="77777777" w:rsidR="005C3949" w:rsidRPr="00020C67" w:rsidRDefault="005C3949" w:rsidP="00020C67">
      <w:pPr>
        <w:spacing w:after="0" w:line="240" w:lineRule="auto"/>
        <w:jc w:val="both"/>
        <w:rPr>
          <w:rFonts w:ascii="Cambria" w:eastAsia="Times New Roman" w:hAnsi="Cambria" w:cs="Times New Roman"/>
        </w:rPr>
      </w:pPr>
    </w:p>
    <w:p w14:paraId="69A294F0" w14:textId="76971BCE" w:rsidR="005C3949" w:rsidRPr="00485E38" w:rsidRDefault="005C3949" w:rsidP="00020C67">
      <w:pPr>
        <w:spacing w:after="0" w:line="240" w:lineRule="auto"/>
        <w:jc w:val="both"/>
        <w:rPr>
          <w:rFonts w:ascii="Cambria" w:eastAsia="Times New Roman" w:hAnsi="Cambria" w:cs="Times New Roman"/>
          <w:color w:val="000000"/>
        </w:rPr>
      </w:pPr>
      <w:r w:rsidRPr="009D7DDD">
        <w:rPr>
          <w:rFonts w:ascii="Cambria" w:eastAsia="Times New Roman" w:hAnsi="Cambria" w:cs="Times New Roman"/>
          <w:color w:val="000000"/>
        </w:rPr>
        <w:lastRenderedPageBreak/>
        <w:t xml:space="preserve">All samples will be sent to </w:t>
      </w:r>
      <w:r w:rsidR="002E4320" w:rsidRPr="00381CE7">
        <w:rPr>
          <w:rFonts w:ascii="Cambria" w:eastAsia="Times New Roman" w:hAnsi="Cambria" w:cs="Times New Roman"/>
          <w:color w:val="000000"/>
        </w:rPr>
        <w:t xml:space="preserve">the </w:t>
      </w:r>
      <w:r w:rsidRPr="00381CE7">
        <w:rPr>
          <w:rFonts w:ascii="Cambria" w:eastAsia="Times New Roman" w:hAnsi="Cambria" w:cs="Times New Roman"/>
          <w:color w:val="000000"/>
        </w:rPr>
        <w:t>NYGC</w:t>
      </w:r>
      <w:r w:rsidR="002E4320" w:rsidRPr="00381CE7">
        <w:rPr>
          <w:rFonts w:ascii="Cambria" w:eastAsia="Times New Roman" w:hAnsi="Cambria" w:cs="Times New Roman"/>
          <w:color w:val="000000"/>
        </w:rPr>
        <w:t xml:space="preserve"> laboratory</w:t>
      </w:r>
      <w:r w:rsidRPr="00381047">
        <w:rPr>
          <w:rFonts w:ascii="Cambria" w:eastAsia="Times New Roman" w:hAnsi="Cambria" w:cs="Times New Roman"/>
          <w:color w:val="000000"/>
        </w:rPr>
        <w:t xml:space="preserve">. Accompanying materials including signed test requisition forms, pedigree, and chart note will be provided to </w:t>
      </w:r>
      <w:r w:rsidR="002E4320" w:rsidRPr="00485E38">
        <w:rPr>
          <w:rFonts w:ascii="Cambria" w:eastAsia="Times New Roman" w:hAnsi="Cambria" w:cs="Times New Roman"/>
          <w:color w:val="000000"/>
        </w:rPr>
        <w:t xml:space="preserve">the </w:t>
      </w:r>
      <w:r w:rsidRPr="00485E38">
        <w:rPr>
          <w:rFonts w:ascii="Cambria" w:eastAsia="Times New Roman" w:hAnsi="Cambria" w:cs="Times New Roman"/>
          <w:color w:val="000000"/>
        </w:rPr>
        <w:t xml:space="preserve">NYGC </w:t>
      </w:r>
      <w:r w:rsidR="002E4320" w:rsidRPr="00485E38">
        <w:rPr>
          <w:rFonts w:ascii="Cambria" w:eastAsia="Times New Roman" w:hAnsi="Cambria" w:cs="Times New Roman"/>
          <w:color w:val="000000"/>
        </w:rPr>
        <w:t xml:space="preserve">laboratory </w:t>
      </w:r>
      <w:r w:rsidRPr="00485E38">
        <w:rPr>
          <w:rFonts w:ascii="Cambria" w:eastAsia="Times New Roman" w:hAnsi="Cambria" w:cs="Times New Roman"/>
          <w:color w:val="000000"/>
        </w:rPr>
        <w:t xml:space="preserve">using a shared, secure content management platform, Box. NYGC is a CLIA-certified and approved by New York State to perform </w:t>
      </w:r>
      <w:r w:rsidR="002E4320" w:rsidRPr="00485E38">
        <w:rPr>
          <w:rFonts w:ascii="Cambria" w:eastAsia="Times New Roman" w:hAnsi="Cambria" w:cs="Times New Roman"/>
          <w:color w:val="000000"/>
        </w:rPr>
        <w:t>WGS</w:t>
      </w:r>
      <w:r w:rsidRPr="00485E38">
        <w:rPr>
          <w:rFonts w:ascii="Cambria" w:eastAsia="Times New Roman" w:hAnsi="Cambria" w:cs="Times New Roman"/>
          <w:color w:val="000000"/>
        </w:rPr>
        <w:t xml:space="preserve"> for clinical purposes.  (See Appendix </w:t>
      </w:r>
      <w:r w:rsidR="00020C67">
        <w:rPr>
          <w:rFonts w:ascii="Cambria" w:eastAsia="Times New Roman" w:hAnsi="Cambria" w:cs="Times New Roman"/>
          <w:color w:val="000000"/>
        </w:rPr>
        <w:t>y</w:t>
      </w:r>
      <w:r w:rsidRPr="00485E38">
        <w:rPr>
          <w:rFonts w:ascii="Cambria" w:eastAsia="Times New Roman" w:hAnsi="Cambria" w:cs="Times New Roman"/>
          <w:color w:val="000000"/>
        </w:rPr>
        <w:t>)</w:t>
      </w:r>
    </w:p>
    <w:p w14:paraId="30E2E810" w14:textId="77777777" w:rsidR="005C3949" w:rsidRPr="00485E38" w:rsidRDefault="005C3949" w:rsidP="00020C67">
      <w:pPr>
        <w:spacing w:after="0" w:line="240" w:lineRule="auto"/>
        <w:jc w:val="both"/>
        <w:rPr>
          <w:rFonts w:ascii="Cambria" w:eastAsia="Times New Roman" w:hAnsi="Cambria" w:cs="Times New Roman"/>
          <w:color w:val="000000"/>
        </w:rPr>
      </w:pPr>
    </w:p>
    <w:p w14:paraId="67354384" w14:textId="4E07833E" w:rsidR="00A95DF0" w:rsidRPr="00020C67" w:rsidRDefault="00A95DF0" w:rsidP="00020C67">
      <w:pPr>
        <w:spacing w:after="0" w:line="240" w:lineRule="auto"/>
        <w:jc w:val="both"/>
        <w:rPr>
          <w:rFonts w:ascii="Cambria" w:eastAsia="Times New Roman" w:hAnsi="Cambria" w:cs="Times New Roman"/>
        </w:rPr>
      </w:pPr>
      <w:r w:rsidRPr="00485E38">
        <w:rPr>
          <w:rFonts w:ascii="Cambria" w:eastAsia="Times New Roman" w:hAnsi="Cambria" w:cs="Times New Roman"/>
          <w:color w:val="000000"/>
        </w:rPr>
        <w:t xml:space="preserve">Declining at baseline visit: If the parents and/or young adults decline to participate after reviewing the </w:t>
      </w:r>
      <w:r w:rsidRPr="00485E38">
        <w:rPr>
          <w:rFonts w:ascii="Cambria" w:eastAsia="Times New Roman" w:hAnsi="Cambria" w:cs="Times New Roman"/>
          <w:i/>
          <w:iCs/>
          <w:color w:val="000000"/>
        </w:rPr>
        <w:t>Informed consent: Main Study,</w:t>
      </w:r>
      <w:r w:rsidRPr="00485E38">
        <w:rPr>
          <w:rFonts w:ascii="Cambria" w:eastAsia="Times New Roman" w:hAnsi="Cambria" w:cs="Times New Roman"/>
          <w:color w:val="000000"/>
        </w:rPr>
        <w:t xml:space="preserve"> they will be asked a few optional questions regarding this decision to help us better assess any barriers to study participation (Appendix </w:t>
      </w:r>
      <w:r w:rsidR="00020C67">
        <w:rPr>
          <w:rFonts w:ascii="Cambria" w:eastAsia="Times New Roman" w:hAnsi="Cambria" w:cs="Times New Roman"/>
          <w:color w:val="000000"/>
        </w:rPr>
        <w:t>d</w:t>
      </w:r>
      <w:r w:rsidR="00B744AD" w:rsidRPr="00485E38">
        <w:rPr>
          <w:rFonts w:ascii="Cambria" w:eastAsia="Times New Roman" w:hAnsi="Cambria" w:cs="Times New Roman"/>
          <w:color w:val="000000"/>
        </w:rPr>
        <w:t>.</w:t>
      </w:r>
      <w:r w:rsidRPr="00485E38">
        <w:rPr>
          <w:rFonts w:ascii="Cambria" w:eastAsia="Times New Roman" w:hAnsi="Cambria" w:cs="Times New Roman"/>
          <w:color w:val="000000"/>
        </w:rPr>
        <w:t xml:space="preserve"> ‘Decliner Survey’). The RedCap record will be reviewed and purged of any personal identifiers (</w:t>
      </w:r>
      <w:r w:rsidRPr="00485E38">
        <w:rPr>
          <w:rFonts w:ascii="Cambria" w:eastAsia="Times New Roman" w:hAnsi="Cambria" w:cs="Times New Roman"/>
          <w:i/>
          <w:iCs/>
          <w:color w:val="000000"/>
        </w:rPr>
        <w:t>e.g</w:t>
      </w:r>
      <w:r w:rsidRPr="00485E38">
        <w:rPr>
          <w:rFonts w:ascii="Cambria" w:eastAsia="Times New Roman" w:hAnsi="Cambria" w:cs="Times New Roman"/>
          <w:color w:val="000000"/>
        </w:rPr>
        <w:t>., name, MRN). Any data recorded up to this point will be stored under the study ID. </w:t>
      </w:r>
    </w:p>
    <w:p w14:paraId="016C0CBA" w14:textId="77777777" w:rsidR="00A95DF0" w:rsidRPr="00020C67" w:rsidRDefault="00A95DF0" w:rsidP="00020C67">
      <w:pPr>
        <w:spacing w:after="0" w:line="240" w:lineRule="auto"/>
        <w:jc w:val="both"/>
        <w:rPr>
          <w:rFonts w:ascii="Cambria" w:eastAsia="Times New Roman" w:hAnsi="Cambria" w:cs="Times New Roman"/>
        </w:rPr>
      </w:pPr>
    </w:p>
    <w:p w14:paraId="2930F305" w14:textId="77777777" w:rsidR="00A95DF0" w:rsidRPr="00020C67" w:rsidRDefault="00A95DF0" w:rsidP="00020C67">
      <w:pPr>
        <w:spacing w:after="120" w:line="240" w:lineRule="auto"/>
        <w:ind w:hanging="720"/>
        <w:jc w:val="both"/>
        <w:rPr>
          <w:rFonts w:ascii="Cambria" w:eastAsia="Times New Roman" w:hAnsi="Cambria" w:cs="Times New Roman"/>
        </w:rPr>
      </w:pPr>
      <w:r w:rsidRPr="009D7DDD">
        <w:rPr>
          <w:rFonts w:ascii="Cambria" w:eastAsia="Times New Roman" w:hAnsi="Cambria" w:cs="Times New Roman"/>
          <w:b/>
          <w:bCs/>
          <w:i/>
          <w:iCs/>
          <w:color w:val="000000"/>
        </w:rPr>
        <w:t>III.d. Return of Results (ROR)/Follow Up (FU) Visit 1, aka ROR1</w:t>
      </w:r>
      <w:r w:rsidRPr="00381CE7">
        <w:rPr>
          <w:rFonts w:ascii="Cambria" w:eastAsia="Times New Roman" w:hAnsi="Cambria" w:cs="Times New Roman"/>
          <w:i/>
          <w:iCs/>
          <w:color w:val="000000"/>
        </w:rPr>
        <w:t>: </w:t>
      </w:r>
    </w:p>
    <w:p w14:paraId="55E7CA2D" w14:textId="3F41A6DF" w:rsidR="00A95DF0" w:rsidRPr="00020C67" w:rsidRDefault="00A95DF0" w:rsidP="00020C67">
      <w:pPr>
        <w:spacing w:after="0" w:line="240" w:lineRule="auto"/>
        <w:ind w:right="58"/>
        <w:jc w:val="both"/>
        <w:rPr>
          <w:rFonts w:ascii="Cambria" w:eastAsia="Times New Roman" w:hAnsi="Cambria" w:cs="Times New Roman"/>
        </w:rPr>
      </w:pPr>
      <w:r w:rsidRPr="009D7DDD">
        <w:rPr>
          <w:rFonts w:ascii="Cambria" w:eastAsia="Times New Roman" w:hAnsi="Cambria" w:cs="Times New Roman"/>
          <w:color w:val="000000"/>
        </w:rPr>
        <w:t xml:space="preserve">Result reporting will occur when the results are obtained from the testing </w:t>
      </w:r>
      <w:r w:rsidR="00DA42B9" w:rsidRPr="00381CE7">
        <w:rPr>
          <w:rFonts w:ascii="Cambria" w:eastAsia="Times New Roman" w:hAnsi="Cambria" w:cs="Times New Roman"/>
          <w:color w:val="000000"/>
        </w:rPr>
        <w:t xml:space="preserve">laboratory </w:t>
      </w:r>
      <w:r w:rsidRPr="00381CE7">
        <w:rPr>
          <w:rFonts w:ascii="Cambria" w:eastAsia="Times New Roman" w:hAnsi="Cambria" w:cs="Times New Roman"/>
          <w:color w:val="000000"/>
        </w:rPr>
        <w:t>(Visit 2</w:t>
      </w:r>
      <w:r w:rsidRPr="00485E38">
        <w:rPr>
          <w:rFonts w:ascii="Cambria" w:eastAsia="Times New Roman" w:hAnsi="Cambria" w:cs="Times New Roman"/>
          <w:color w:val="000000"/>
        </w:rPr>
        <w:t>), and is a required study video visit regardless of whether results were abnormal or not.  The referring physicians, who will be active participants in the interpretation of results, will have the option to participate in the result reporting session, depending on their individual current practice and the specific results of the study subject. In the case of results that will benefit input from a geneticist, GCs will involve a geneticist in the interpretation of the results.  However, as this is an intervention that adds to usual care, we will not interfere with what providers prefer or choose to do in terms of their involvement in ROR.  Regardless of their choice about whether or not to participate in the session, all results will be reviewed by the referring physician, and they will share their opinion about the significance of the genomic findings as well as their medical recommendations with the GC, using “</w:t>
      </w:r>
      <w:r w:rsidR="00B1673B" w:rsidRPr="00485E38">
        <w:rPr>
          <w:rFonts w:ascii="Cambria" w:eastAsia="Times New Roman" w:hAnsi="Cambria" w:cs="Times New Roman"/>
          <w:color w:val="000000"/>
        </w:rPr>
        <w:t>Tele</w:t>
      </w:r>
      <w:r w:rsidRPr="00485E38">
        <w:rPr>
          <w:rFonts w:ascii="Cambria" w:eastAsia="Times New Roman" w:hAnsi="Cambria" w:cs="Times New Roman"/>
          <w:color w:val="000000"/>
        </w:rPr>
        <w:t>KidSeq Referring Physician Opinion and Recommendations</w:t>
      </w:r>
      <w:r w:rsidR="00EA07BA" w:rsidRPr="00485E38">
        <w:rPr>
          <w:rFonts w:ascii="Cambria" w:eastAsia="Times New Roman" w:hAnsi="Cambria" w:cs="Times New Roman"/>
          <w:color w:val="000000"/>
        </w:rPr>
        <w:t>”</w:t>
      </w:r>
      <w:r w:rsidRPr="00485E38">
        <w:rPr>
          <w:rFonts w:ascii="Cambria" w:eastAsia="Times New Roman" w:hAnsi="Cambria" w:cs="Times New Roman"/>
          <w:color w:val="000000"/>
        </w:rPr>
        <w:t xml:space="preserve"> (see Appendix </w:t>
      </w:r>
      <w:r w:rsidR="00020C67">
        <w:rPr>
          <w:rFonts w:ascii="Cambria" w:eastAsia="Times New Roman" w:hAnsi="Cambria" w:cs="Times New Roman"/>
          <w:color w:val="000000"/>
        </w:rPr>
        <w:t>t</w:t>
      </w:r>
      <w:r w:rsidRPr="00485E38">
        <w:rPr>
          <w:rFonts w:ascii="Cambria" w:eastAsia="Times New Roman" w:hAnsi="Cambria" w:cs="Times New Roman"/>
          <w:color w:val="000000"/>
        </w:rPr>
        <w:t>). This form will either be filled out directly by the physician, or communicated with the GC by phone or email</w:t>
      </w:r>
      <w:r w:rsidR="00C63024" w:rsidRPr="00485E38">
        <w:rPr>
          <w:rFonts w:ascii="Cambria" w:eastAsia="Times New Roman" w:hAnsi="Cambria" w:cs="Times New Roman"/>
          <w:color w:val="000000"/>
        </w:rPr>
        <w:t xml:space="preserve"> if the provider prefers</w:t>
      </w:r>
      <w:r w:rsidRPr="00485E38">
        <w:rPr>
          <w:rFonts w:ascii="Cambria" w:eastAsia="Times New Roman" w:hAnsi="Cambria" w:cs="Times New Roman"/>
          <w:color w:val="000000"/>
        </w:rPr>
        <w:t>. GC will fill the recommendations in RedCap. The ROR1 visit will occur by videoconference, using a secure, HIPAA compliant platform, with or without screen sharing. Instructions to assist participants on how to use the video conference platform will be shared by the CRCs via email. </w:t>
      </w:r>
    </w:p>
    <w:p w14:paraId="38441101" w14:textId="77777777" w:rsidR="00A95DF0" w:rsidRPr="00020C67" w:rsidRDefault="00A95DF0" w:rsidP="00020C67">
      <w:pPr>
        <w:spacing w:after="0" w:line="240" w:lineRule="auto"/>
        <w:jc w:val="both"/>
        <w:rPr>
          <w:rFonts w:ascii="Cambria" w:eastAsia="Times New Roman" w:hAnsi="Cambria" w:cs="Times New Roman"/>
        </w:rPr>
      </w:pPr>
    </w:p>
    <w:p w14:paraId="264D1DB2" w14:textId="34DC39BB" w:rsidR="00A95DF0" w:rsidRPr="00020C67" w:rsidRDefault="00A95DF0" w:rsidP="00020C67">
      <w:pPr>
        <w:spacing w:after="120" w:line="240" w:lineRule="auto"/>
        <w:ind w:right="58"/>
        <w:jc w:val="both"/>
        <w:rPr>
          <w:rFonts w:ascii="Cambria" w:eastAsia="Times New Roman" w:hAnsi="Cambria" w:cs="Times New Roman"/>
        </w:rPr>
      </w:pPr>
      <w:r w:rsidRPr="009D7DDD">
        <w:rPr>
          <w:rFonts w:ascii="Cambria" w:eastAsia="Times New Roman" w:hAnsi="Cambria" w:cs="Times New Roman"/>
          <w:color w:val="000000"/>
          <w:u w:val="single"/>
        </w:rPr>
        <w:t xml:space="preserve">Pilot </w:t>
      </w:r>
      <w:r w:rsidR="00A87894" w:rsidRPr="00381CE7">
        <w:rPr>
          <w:rFonts w:ascii="Cambria" w:eastAsia="Times New Roman" w:hAnsi="Cambria" w:cs="Times New Roman"/>
          <w:color w:val="000000"/>
          <w:u w:val="single"/>
        </w:rPr>
        <w:t>Study</w:t>
      </w:r>
      <w:r w:rsidR="006E697E" w:rsidRPr="00381CE7">
        <w:rPr>
          <w:rFonts w:ascii="Cambria" w:eastAsia="Times New Roman" w:hAnsi="Cambria" w:cs="Times New Roman"/>
          <w:color w:val="000000"/>
          <w:u w:val="single"/>
        </w:rPr>
        <w:t>, “TeleKidSeq”</w:t>
      </w:r>
      <w:r w:rsidR="00A87894" w:rsidRPr="00381CE7">
        <w:rPr>
          <w:rFonts w:ascii="Cambria" w:eastAsia="Times New Roman" w:hAnsi="Cambria" w:cs="Times New Roman"/>
          <w:color w:val="000000"/>
          <w:u w:val="single"/>
        </w:rPr>
        <w:t> (</w:t>
      </w:r>
      <w:r w:rsidRPr="00381047">
        <w:rPr>
          <w:rFonts w:ascii="Cambria" w:eastAsia="Times New Roman" w:hAnsi="Cambria" w:cs="Times New Roman"/>
          <w:color w:val="000000"/>
          <w:u w:val="single"/>
        </w:rPr>
        <w:t>n</w:t>
      </w:r>
      <w:r w:rsidR="002E4320" w:rsidRPr="00381047">
        <w:rPr>
          <w:rFonts w:ascii="Cambria" w:eastAsia="Times New Roman" w:hAnsi="Cambria" w:cs="Times New Roman"/>
          <w:color w:val="000000"/>
          <w:u w:val="single"/>
        </w:rPr>
        <w:t>=</w:t>
      </w:r>
      <w:r w:rsidR="002E4320" w:rsidRPr="00485E38">
        <w:rPr>
          <w:rFonts w:ascii="Cambria" w:eastAsia="Times New Roman" w:hAnsi="Cambria" w:cs="Times New Roman"/>
          <w:color w:val="000000"/>
          <w:u w:val="single"/>
        </w:rPr>
        <w:t>496</w:t>
      </w:r>
      <w:r w:rsidRPr="00485E38">
        <w:rPr>
          <w:rFonts w:ascii="Cambria" w:eastAsia="Times New Roman" w:hAnsi="Cambria" w:cs="Times New Roman"/>
          <w:color w:val="000000"/>
          <w:u w:val="single"/>
        </w:rPr>
        <w:t>) </w:t>
      </w:r>
    </w:p>
    <w:p w14:paraId="7778F054" w14:textId="55F3C23F" w:rsidR="00A95DF0" w:rsidRPr="00020C67" w:rsidRDefault="00A95DF0" w:rsidP="00020C67">
      <w:pPr>
        <w:spacing w:after="120" w:line="240" w:lineRule="auto"/>
        <w:ind w:right="58"/>
        <w:jc w:val="both"/>
        <w:rPr>
          <w:rFonts w:ascii="Cambria" w:eastAsia="Times New Roman" w:hAnsi="Cambria" w:cs="Times New Roman"/>
        </w:rPr>
      </w:pPr>
      <w:r w:rsidRPr="009D7DDD">
        <w:rPr>
          <w:rFonts w:ascii="Cambria" w:eastAsia="Times New Roman" w:hAnsi="Cambria" w:cs="Times New Roman"/>
          <w:color w:val="000000"/>
        </w:rPr>
        <w:t xml:space="preserve">The </w:t>
      </w:r>
      <w:r w:rsidR="005A3DC7" w:rsidRPr="00381CE7">
        <w:rPr>
          <w:rFonts w:ascii="Cambria" w:eastAsia="Times New Roman" w:hAnsi="Cambria" w:cs="Times New Roman"/>
          <w:color w:val="000000"/>
        </w:rPr>
        <w:t>Pilot is</w:t>
      </w:r>
      <w:r w:rsidRPr="00381CE7">
        <w:rPr>
          <w:rFonts w:ascii="Cambria" w:eastAsia="Times New Roman" w:hAnsi="Cambria" w:cs="Times New Roman"/>
          <w:color w:val="000000"/>
        </w:rPr>
        <w:t xml:space="preserve"> divided into two arms, the Telehealth Without Screen Sharing arm</w:t>
      </w:r>
      <w:r w:rsidR="00DA42B9" w:rsidRPr="00381CE7">
        <w:rPr>
          <w:rFonts w:ascii="Cambria" w:eastAsia="Times New Roman" w:hAnsi="Cambria" w:cs="Times New Roman"/>
          <w:color w:val="000000"/>
        </w:rPr>
        <w:t xml:space="preserve"> (“Telehealth”)</w:t>
      </w:r>
      <w:r w:rsidRPr="00381047">
        <w:rPr>
          <w:rFonts w:ascii="Cambria" w:eastAsia="Times New Roman" w:hAnsi="Cambria" w:cs="Times New Roman"/>
          <w:color w:val="000000"/>
        </w:rPr>
        <w:t>, and the</w:t>
      </w:r>
      <w:r w:rsidR="0044419D"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 xml:space="preserve">Telehealth With Screen Sharing </w:t>
      </w:r>
      <w:r w:rsidR="00DA42B9" w:rsidRPr="00485E38">
        <w:rPr>
          <w:rFonts w:ascii="Cambria" w:eastAsia="Times New Roman" w:hAnsi="Cambria" w:cs="Times New Roman"/>
          <w:color w:val="000000"/>
        </w:rPr>
        <w:t>arm (ScreenShare”)</w:t>
      </w:r>
      <w:r w:rsidRPr="00485E38">
        <w:rPr>
          <w:rFonts w:ascii="Cambria" w:eastAsia="Times New Roman" w:hAnsi="Cambria" w:cs="Times New Roman"/>
          <w:color w:val="000000"/>
        </w:rPr>
        <w:t xml:space="preserve">. In both arms, results will be returned using a secure video conferencing </w:t>
      </w:r>
      <w:r w:rsidR="005A3DC7" w:rsidRPr="00485E38">
        <w:rPr>
          <w:rFonts w:ascii="Cambria" w:eastAsia="Times New Roman" w:hAnsi="Cambria" w:cs="Times New Roman"/>
          <w:color w:val="000000"/>
        </w:rPr>
        <w:t>platform.</w:t>
      </w:r>
      <w:r w:rsidRPr="00485E38">
        <w:rPr>
          <w:rFonts w:ascii="Cambria" w:eastAsia="Times New Roman" w:hAnsi="Cambria" w:cs="Times New Roman"/>
          <w:color w:val="000000"/>
        </w:rPr>
        <w:t> </w:t>
      </w:r>
    </w:p>
    <w:p w14:paraId="75A8CF55" w14:textId="0A6768D8" w:rsidR="00A95DF0" w:rsidRPr="00020C67" w:rsidRDefault="00A95DF0" w:rsidP="00020C67">
      <w:pPr>
        <w:spacing w:after="0" w:line="240" w:lineRule="auto"/>
        <w:ind w:left="720" w:hanging="720"/>
        <w:jc w:val="both"/>
        <w:rPr>
          <w:rFonts w:ascii="Cambria" w:eastAsia="Times New Roman" w:hAnsi="Cambria" w:cs="Times New Roman"/>
        </w:rPr>
      </w:pPr>
      <w:r w:rsidRPr="009D7DDD">
        <w:rPr>
          <w:rFonts w:ascii="Cambria" w:eastAsia="Times New Roman" w:hAnsi="Cambria" w:cs="Times New Roman"/>
          <w:color w:val="000000"/>
        </w:rPr>
        <w:t xml:space="preserve">    </w:t>
      </w:r>
      <w:r w:rsidR="000F3DF2" w:rsidRPr="00381CE7">
        <w:rPr>
          <w:rFonts w:ascii="Cambria" w:eastAsia="Times New Roman" w:hAnsi="Cambria" w:cs="Times New Roman"/>
          <w:color w:val="000000"/>
        </w:rPr>
        <w:tab/>
      </w:r>
      <w:r w:rsidRPr="00381CE7">
        <w:rPr>
          <w:rFonts w:ascii="Cambria" w:eastAsia="Times New Roman" w:hAnsi="Cambria" w:cs="Times New Roman"/>
          <w:color w:val="000000"/>
          <w:u w:val="single"/>
        </w:rPr>
        <w:t>Tele</w:t>
      </w:r>
      <w:r w:rsidR="005A3DC7" w:rsidRPr="00381CE7">
        <w:rPr>
          <w:rFonts w:ascii="Cambria" w:eastAsia="Times New Roman" w:hAnsi="Cambria" w:cs="Times New Roman"/>
          <w:color w:val="000000"/>
          <w:u w:val="single"/>
        </w:rPr>
        <w:t>health</w:t>
      </w:r>
      <w:r w:rsidRPr="00381047">
        <w:rPr>
          <w:rFonts w:ascii="Cambria" w:eastAsia="Times New Roman" w:hAnsi="Cambria" w:cs="Times New Roman"/>
          <w:color w:val="000000"/>
          <w:u w:val="single"/>
        </w:rPr>
        <w:t xml:space="preserve"> Without Screen Sharing Arm (n=</w:t>
      </w:r>
      <w:r w:rsidR="006E697E" w:rsidRPr="00381047">
        <w:rPr>
          <w:rFonts w:ascii="Cambria" w:eastAsia="Times New Roman" w:hAnsi="Cambria" w:cs="Times New Roman"/>
          <w:color w:val="000000"/>
          <w:u w:val="single"/>
        </w:rPr>
        <w:t>2</w:t>
      </w:r>
      <w:r w:rsidR="002E4320" w:rsidRPr="00381047">
        <w:rPr>
          <w:rFonts w:ascii="Cambria" w:eastAsia="Times New Roman" w:hAnsi="Cambria" w:cs="Times New Roman"/>
          <w:color w:val="000000"/>
          <w:u w:val="single"/>
        </w:rPr>
        <w:t>48</w:t>
      </w:r>
      <w:r w:rsidRPr="00485E38">
        <w:rPr>
          <w:rFonts w:ascii="Cambria" w:eastAsia="Times New Roman" w:hAnsi="Cambria" w:cs="Times New Roman"/>
          <w:color w:val="000000"/>
          <w:u w:val="single"/>
        </w:rPr>
        <w:t xml:space="preserve"> study wide):</w:t>
      </w:r>
      <w:r w:rsidRPr="00485E38">
        <w:rPr>
          <w:rFonts w:ascii="Cambria" w:eastAsia="Times New Roman" w:hAnsi="Cambria" w:cs="Times New Roman"/>
          <w:color w:val="000000"/>
        </w:rPr>
        <w:t xml:space="preserve"> During the ROR1 genetic counseling session, the </w:t>
      </w:r>
      <w:r w:rsidR="002E4320" w:rsidRPr="00485E38">
        <w:rPr>
          <w:rFonts w:ascii="Cambria" w:eastAsia="Times New Roman" w:hAnsi="Cambria" w:cs="Times New Roman"/>
          <w:color w:val="000000"/>
        </w:rPr>
        <w:t>GC</w:t>
      </w:r>
      <w:r w:rsidRPr="00485E38">
        <w:rPr>
          <w:rFonts w:ascii="Cambria" w:eastAsia="Times New Roman" w:hAnsi="Cambria" w:cs="Times New Roman"/>
          <w:color w:val="000000"/>
        </w:rPr>
        <w:t xml:space="preserve"> will review the purpose of the genomic testing and disclose the child’s test results. For positive test results, the </w:t>
      </w:r>
      <w:r w:rsidR="002E4320" w:rsidRPr="00485E38">
        <w:rPr>
          <w:rFonts w:ascii="Cambria" w:eastAsia="Times New Roman" w:hAnsi="Cambria" w:cs="Times New Roman"/>
          <w:color w:val="000000"/>
        </w:rPr>
        <w:t>GC</w:t>
      </w:r>
      <w:r w:rsidRPr="00485E38">
        <w:rPr>
          <w:rFonts w:ascii="Cambria" w:eastAsia="Times New Roman" w:hAnsi="Cambria" w:cs="Times New Roman"/>
          <w:color w:val="000000"/>
        </w:rPr>
        <w:t xml:space="preserve"> will describe the diagnosis, associated symptoms, management recommendations, and life expectancy, if known.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then discuss the inheritance pattern, recurrence risks, and identify at-risk family members who may also require/consider testing. In the case of negative results,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discuss the implications of such a result, such as the possibility that there is a genetic cause for the child’s symptoms that was unable to be identified at this time by this testing.  For ambiguous results,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explain the meaning and uncertainty associated with these types of results and provide recommendations for continued disease management.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also disclose any secondary findings to participants who opted to receive those results.  Psychosocial concerns will be addressed throughout the encounter. Lastly,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provide medical and support referrals, when appropriate, using suggestions made by the physician via the “Referring Physician Opinion and Recommendations for ROR1.”  As the WGS </w:t>
      </w:r>
      <w:r w:rsidR="00DA42B9" w:rsidRPr="00485E38">
        <w:rPr>
          <w:rFonts w:ascii="Cambria" w:eastAsia="Times New Roman" w:hAnsi="Cambria" w:cs="Times New Roman"/>
          <w:color w:val="000000"/>
        </w:rPr>
        <w:t>is</w:t>
      </w:r>
      <w:r w:rsidRPr="00485E38">
        <w:rPr>
          <w:rFonts w:ascii="Cambria" w:eastAsia="Times New Roman" w:hAnsi="Cambria" w:cs="Times New Roman"/>
          <w:color w:val="000000"/>
        </w:rPr>
        <w:t xml:space="preserve"> NYS-approved for clinical purposes, reports will be given to the families and incorporated into their medical records, </w:t>
      </w:r>
      <w:r w:rsidRPr="00485E38">
        <w:rPr>
          <w:rFonts w:ascii="Cambria" w:eastAsia="Times New Roman" w:hAnsi="Cambria" w:cs="Times New Roman"/>
          <w:color w:val="000000"/>
        </w:rPr>
        <w:lastRenderedPageBreak/>
        <w:t xml:space="preserve">and shared with referring physicians. All discussions will be performed via video conferencing without the use of screen sharing. </w:t>
      </w:r>
      <w:r w:rsidR="00E22B67" w:rsidRPr="00485E38">
        <w:rPr>
          <w:rFonts w:ascii="Cambria" w:eastAsia="Times New Roman" w:hAnsi="Cambria" w:cs="Times New Roman"/>
          <w:b/>
          <w:color w:val="000000"/>
        </w:rPr>
        <w:t>For participants in the Tele</w:t>
      </w:r>
      <w:r w:rsidR="005A3DC7" w:rsidRPr="00485E38">
        <w:rPr>
          <w:rFonts w:ascii="Cambria" w:eastAsia="Times New Roman" w:hAnsi="Cambria" w:cs="Times New Roman"/>
          <w:b/>
          <w:color w:val="000000"/>
        </w:rPr>
        <w:t>health</w:t>
      </w:r>
      <w:r w:rsidR="00E22B67" w:rsidRPr="00485E38">
        <w:rPr>
          <w:rFonts w:ascii="Cambria" w:eastAsia="Times New Roman" w:hAnsi="Cambria" w:cs="Times New Roman"/>
          <w:b/>
          <w:color w:val="000000"/>
        </w:rPr>
        <w:t xml:space="preserve"> Without Screen Sharing Arm, </w:t>
      </w:r>
      <w:r w:rsidR="002E4320" w:rsidRPr="00020C67">
        <w:rPr>
          <w:rFonts w:ascii="Cambria" w:eastAsia="Times New Roman" w:hAnsi="Cambria" w:cs="Times New Roman"/>
          <w:b/>
          <w:color w:val="000000"/>
        </w:rPr>
        <w:t xml:space="preserve">GC </w:t>
      </w:r>
      <w:r w:rsidR="00E22B67" w:rsidRPr="00381CE7">
        <w:rPr>
          <w:rFonts w:ascii="Cambria" w:eastAsia="Times New Roman" w:hAnsi="Cambria" w:cs="Times New Roman"/>
          <w:b/>
          <w:color w:val="000000"/>
        </w:rPr>
        <w:t xml:space="preserve">may show standardized images and WGS reports to participants by holding up these documents (on paper) to the webcam. </w:t>
      </w:r>
      <w:r w:rsidR="00E22B67" w:rsidRPr="00381047">
        <w:rPr>
          <w:rFonts w:ascii="Cambria" w:eastAsia="Times New Roman" w:hAnsi="Cambria" w:cs="Times New Roman"/>
          <w:b/>
          <w:color w:val="000000"/>
        </w:rPr>
        <w:t xml:space="preserve">All images used during the ROR1 visit must be approved by the study </w:t>
      </w:r>
      <w:r w:rsidR="002E4320" w:rsidRPr="00020C67">
        <w:rPr>
          <w:rFonts w:ascii="Cambria" w:eastAsia="Times New Roman" w:hAnsi="Cambria" w:cs="Times New Roman"/>
          <w:b/>
          <w:color w:val="000000"/>
        </w:rPr>
        <w:t>GC</w:t>
      </w:r>
      <w:r w:rsidR="002E4320" w:rsidRPr="009D7DDD">
        <w:rPr>
          <w:rFonts w:ascii="Cambria" w:eastAsia="Times New Roman" w:hAnsi="Cambria" w:cs="Times New Roman"/>
          <w:color w:val="000000"/>
        </w:rPr>
        <w:t xml:space="preserve"> </w:t>
      </w:r>
      <w:r w:rsidR="00E22B67" w:rsidRPr="00381047">
        <w:rPr>
          <w:rFonts w:ascii="Cambria" w:eastAsia="Times New Roman" w:hAnsi="Cambria" w:cs="Times New Roman"/>
          <w:b/>
          <w:color w:val="000000"/>
        </w:rPr>
        <w:t xml:space="preserve">team. </w:t>
      </w:r>
      <w:r w:rsidRPr="00381047">
        <w:rPr>
          <w:rFonts w:ascii="Cambria" w:eastAsia="Times New Roman" w:hAnsi="Cambria" w:cs="Times New Roman"/>
          <w:color w:val="000000"/>
        </w:rPr>
        <w:t xml:space="preserve">If the </w:t>
      </w:r>
      <w:r w:rsidR="002E4320" w:rsidRPr="00381047">
        <w:rPr>
          <w:rFonts w:ascii="Cambria" w:eastAsia="Times New Roman" w:hAnsi="Cambria" w:cs="Times New Roman"/>
          <w:color w:val="000000"/>
        </w:rPr>
        <w:t xml:space="preserve">GCs </w:t>
      </w:r>
      <w:r w:rsidRPr="00485E38">
        <w:rPr>
          <w:rFonts w:ascii="Cambria" w:eastAsia="Times New Roman" w:hAnsi="Cambria" w:cs="Times New Roman"/>
          <w:color w:val="000000"/>
        </w:rPr>
        <w:t>use pen and paper to draw/educate the patients, the details should be documented in RedCap</w:t>
      </w:r>
      <w:r w:rsidR="000F3DF2" w:rsidRPr="00485E38">
        <w:rPr>
          <w:rFonts w:ascii="Cambria" w:eastAsia="Times New Roman" w:hAnsi="Cambria" w:cs="Times New Roman"/>
          <w:color w:val="000000"/>
        </w:rPr>
        <w:t>.</w:t>
      </w:r>
      <w:r w:rsidRPr="00485E38">
        <w:rPr>
          <w:rFonts w:ascii="Cambria" w:eastAsia="Times New Roman" w:hAnsi="Cambria" w:cs="Times New Roman"/>
          <w:color w:val="000000"/>
        </w:rPr>
        <w:t xml:space="preserve"> Following ROR, patients will receive (either via email or by post, based on participants’ preference) a GU</w:t>
      </w:r>
      <w:r w:rsidR="002E4320" w:rsidRPr="00485E38">
        <w:rPr>
          <w:rFonts w:ascii="Cambria" w:eastAsia="Times New Roman" w:hAnsi="Cambria" w:cs="Times New Roman"/>
          <w:color w:val="000000"/>
        </w:rPr>
        <w:t>Í</w:t>
      </w:r>
      <w:r w:rsidRPr="00485E38">
        <w:rPr>
          <w:rFonts w:ascii="Cambria" w:eastAsia="Times New Roman" w:hAnsi="Cambria" w:cs="Times New Roman"/>
          <w:color w:val="000000"/>
        </w:rPr>
        <w:t>A report and WGS laboratory report for the participants’ records. A copy of these documents will be uploaded to the Media tab in the electronic medical record (</w:t>
      </w:r>
      <w:r w:rsidR="002E4320" w:rsidRPr="00485E38">
        <w:rPr>
          <w:rFonts w:ascii="Cambria" w:eastAsia="Times New Roman" w:hAnsi="Cambria" w:cs="Times New Roman"/>
          <w:color w:val="000000"/>
        </w:rPr>
        <w:t>EPIC</w:t>
      </w:r>
      <w:r w:rsidRPr="00485E38">
        <w:rPr>
          <w:rFonts w:ascii="Cambria" w:eastAsia="Times New Roman" w:hAnsi="Cambria" w:cs="Times New Roman"/>
          <w:color w:val="000000"/>
        </w:rPr>
        <w:t>). At the end of the visit, parents will take the ROR1 survey, and then receive a $20 gift card. </w:t>
      </w:r>
    </w:p>
    <w:p w14:paraId="6826E3CA" w14:textId="77777777" w:rsidR="00A95DF0" w:rsidRPr="00020C67" w:rsidRDefault="00A95DF0" w:rsidP="00020C67">
      <w:pPr>
        <w:spacing w:after="0" w:line="240" w:lineRule="auto"/>
        <w:jc w:val="both"/>
        <w:rPr>
          <w:rFonts w:ascii="Cambria" w:eastAsia="Times New Roman" w:hAnsi="Cambria" w:cs="Times New Roman"/>
        </w:rPr>
      </w:pPr>
    </w:p>
    <w:p w14:paraId="36FDBC96" w14:textId="293469F7" w:rsidR="00A95DF0" w:rsidRPr="00020C67" w:rsidRDefault="00A95DF0" w:rsidP="00020C67">
      <w:pPr>
        <w:spacing w:after="0" w:line="240" w:lineRule="auto"/>
        <w:ind w:left="720" w:hanging="720"/>
        <w:jc w:val="both"/>
        <w:rPr>
          <w:rFonts w:ascii="Cambria" w:eastAsia="Times New Roman" w:hAnsi="Cambria" w:cs="Times New Roman"/>
        </w:rPr>
      </w:pPr>
      <w:r w:rsidRPr="009D7DDD">
        <w:rPr>
          <w:rFonts w:ascii="Cambria" w:eastAsia="Times New Roman" w:hAnsi="Cambria" w:cs="Times New Roman"/>
          <w:color w:val="000000"/>
        </w:rPr>
        <w:t xml:space="preserve">    </w:t>
      </w:r>
      <w:r w:rsidR="000F3DF2" w:rsidRPr="00381CE7">
        <w:rPr>
          <w:rFonts w:ascii="Cambria" w:eastAsia="Times New Roman" w:hAnsi="Cambria" w:cs="Times New Roman"/>
          <w:color w:val="000000"/>
        </w:rPr>
        <w:tab/>
      </w:r>
      <w:r w:rsidRPr="00381CE7">
        <w:rPr>
          <w:rFonts w:ascii="Cambria" w:eastAsia="Times New Roman" w:hAnsi="Cambria" w:cs="Times New Roman"/>
          <w:color w:val="000000"/>
          <w:u w:val="single"/>
        </w:rPr>
        <w:t>Tele</w:t>
      </w:r>
      <w:r w:rsidR="005A3DC7" w:rsidRPr="00381047">
        <w:rPr>
          <w:rFonts w:ascii="Cambria" w:eastAsia="Times New Roman" w:hAnsi="Cambria" w:cs="Times New Roman"/>
          <w:color w:val="000000"/>
          <w:u w:val="single"/>
        </w:rPr>
        <w:t>health</w:t>
      </w:r>
      <w:r w:rsidRPr="00381047">
        <w:rPr>
          <w:rFonts w:ascii="Cambria" w:eastAsia="Times New Roman" w:hAnsi="Cambria" w:cs="Times New Roman"/>
          <w:color w:val="000000"/>
          <w:u w:val="single"/>
        </w:rPr>
        <w:t xml:space="preserve"> With Screen Sharing</w:t>
      </w:r>
      <w:r w:rsidRPr="00381047">
        <w:rPr>
          <w:rFonts w:ascii="Cambria" w:eastAsia="Times New Roman" w:hAnsi="Cambria" w:cs="Times New Roman"/>
          <w:color w:val="000000"/>
        </w:rPr>
        <w:t xml:space="preserve"> </w:t>
      </w:r>
      <w:r w:rsidRPr="00381047">
        <w:rPr>
          <w:rFonts w:ascii="Cambria" w:eastAsia="Times New Roman" w:hAnsi="Cambria" w:cs="Times New Roman"/>
          <w:color w:val="000000"/>
          <w:u w:val="single"/>
        </w:rPr>
        <w:t>Arm (n=</w:t>
      </w:r>
      <w:r w:rsidR="006E697E" w:rsidRPr="00485E38">
        <w:rPr>
          <w:rFonts w:ascii="Cambria" w:eastAsia="Times New Roman" w:hAnsi="Cambria" w:cs="Times New Roman"/>
          <w:color w:val="000000"/>
          <w:u w:val="single"/>
        </w:rPr>
        <w:t>2</w:t>
      </w:r>
      <w:r w:rsidR="002E4320" w:rsidRPr="00485E38">
        <w:rPr>
          <w:rFonts w:ascii="Cambria" w:eastAsia="Times New Roman" w:hAnsi="Cambria" w:cs="Times New Roman"/>
          <w:color w:val="000000"/>
          <w:u w:val="single"/>
        </w:rPr>
        <w:t>48</w:t>
      </w:r>
      <w:r w:rsidRPr="00485E38">
        <w:rPr>
          <w:rFonts w:ascii="Cambria" w:eastAsia="Times New Roman" w:hAnsi="Cambria" w:cs="Times New Roman"/>
          <w:color w:val="000000"/>
          <w:u w:val="single"/>
        </w:rPr>
        <w:t xml:space="preserve"> study wide): </w:t>
      </w:r>
      <w:r w:rsidR="002E4320" w:rsidRPr="00485E38">
        <w:rPr>
          <w:rFonts w:ascii="Cambria" w:eastAsia="Times New Roman" w:hAnsi="Cambria" w:cs="Times New Roman"/>
          <w:color w:val="000000"/>
        </w:rPr>
        <w:t xml:space="preserve">GCs </w:t>
      </w:r>
      <w:r w:rsidRPr="00485E38">
        <w:rPr>
          <w:rFonts w:ascii="Cambria" w:eastAsia="Times New Roman" w:hAnsi="Cambria" w:cs="Times New Roman"/>
          <w:color w:val="000000"/>
        </w:rPr>
        <w:t xml:space="preserve">in this arm will follow the same procedures as those outlined for the </w:t>
      </w:r>
      <w:r w:rsidR="00E22B67" w:rsidRPr="00485E38">
        <w:rPr>
          <w:rFonts w:ascii="Cambria" w:eastAsia="Times New Roman" w:hAnsi="Cambria" w:cs="Times New Roman"/>
          <w:color w:val="000000"/>
        </w:rPr>
        <w:t>Tele</w:t>
      </w:r>
      <w:r w:rsidR="005A3DC7" w:rsidRPr="00485E38">
        <w:rPr>
          <w:rFonts w:ascii="Cambria" w:eastAsia="Times New Roman" w:hAnsi="Cambria" w:cs="Times New Roman"/>
          <w:color w:val="000000"/>
        </w:rPr>
        <w:t>health</w:t>
      </w:r>
      <w:r w:rsidR="00E22B67" w:rsidRPr="00485E38">
        <w:rPr>
          <w:rFonts w:ascii="Cambria" w:eastAsia="Times New Roman" w:hAnsi="Cambria" w:cs="Times New Roman"/>
          <w:color w:val="000000"/>
        </w:rPr>
        <w:t xml:space="preserve"> Without Screen Sharing</w:t>
      </w:r>
      <w:r w:rsidRPr="00485E38">
        <w:rPr>
          <w:rFonts w:ascii="Cambria" w:eastAsia="Times New Roman" w:hAnsi="Cambria" w:cs="Times New Roman"/>
          <w:color w:val="000000"/>
        </w:rPr>
        <w:t xml:space="preserve"> Arm and will also utilize GU</w:t>
      </w:r>
      <w:r w:rsidR="002E4320" w:rsidRPr="00485E38">
        <w:rPr>
          <w:rFonts w:ascii="Cambria" w:eastAsia="Times New Roman" w:hAnsi="Cambria" w:cs="Times New Roman"/>
          <w:color w:val="000000"/>
        </w:rPr>
        <w:t>Í</w:t>
      </w:r>
      <w:r w:rsidRPr="00485E38">
        <w:rPr>
          <w:rFonts w:ascii="Cambria" w:eastAsia="Times New Roman" w:hAnsi="Cambria" w:cs="Times New Roman"/>
          <w:color w:val="000000"/>
        </w:rPr>
        <w:t xml:space="preserve">A with screen sharing during the genetic counseling session.  </w:t>
      </w:r>
      <w:r w:rsidR="00E22B67" w:rsidRPr="00485E38">
        <w:rPr>
          <w:rFonts w:ascii="Cambria" w:eastAsia="Times New Roman" w:hAnsi="Cambria" w:cs="Times New Roman"/>
          <w:b/>
          <w:color w:val="000000"/>
        </w:rPr>
        <w:t>For participants in the Tele</w:t>
      </w:r>
      <w:r w:rsidR="005A3DC7" w:rsidRPr="00485E38">
        <w:rPr>
          <w:rFonts w:ascii="Cambria" w:eastAsia="Times New Roman" w:hAnsi="Cambria" w:cs="Times New Roman"/>
          <w:b/>
          <w:color w:val="000000"/>
        </w:rPr>
        <w:t>health</w:t>
      </w:r>
      <w:r w:rsidR="00E22B67" w:rsidRPr="00485E38">
        <w:rPr>
          <w:rFonts w:ascii="Cambria" w:eastAsia="Times New Roman" w:hAnsi="Cambria" w:cs="Times New Roman"/>
          <w:b/>
          <w:color w:val="000000"/>
        </w:rPr>
        <w:t xml:space="preserve"> With Screen Sharing arm, </w:t>
      </w:r>
      <w:r w:rsidR="002E4320" w:rsidRPr="00020C67">
        <w:rPr>
          <w:rFonts w:ascii="Cambria" w:eastAsia="Times New Roman" w:hAnsi="Cambria" w:cs="Times New Roman"/>
          <w:b/>
          <w:color w:val="000000"/>
        </w:rPr>
        <w:t xml:space="preserve">GCs </w:t>
      </w:r>
      <w:r w:rsidR="00E22B67" w:rsidRPr="00381CE7">
        <w:rPr>
          <w:rFonts w:ascii="Cambria" w:eastAsia="Times New Roman" w:hAnsi="Cambria" w:cs="Times New Roman"/>
          <w:b/>
          <w:color w:val="000000"/>
        </w:rPr>
        <w:t>will show GUÍA and WGS reports to participants using screen sharing capabilities</w:t>
      </w:r>
      <w:r w:rsidR="00770204" w:rsidRPr="00381CE7">
        <w:rPr>
          <w:rFonts w:ascii="Cambria" w:eastAsia="Times New Roman" w:hAnsi="Cambria" w:cs="Times New Roman"/>
          <w:b/>
          <w:color w:val="000000"/>
        </w:rPr>
        <w:t xml:space="preserve">. </w:t>
      </w:r>
      <w:r w:rsidRPr="00381047">
        <w:rPr>
          <w:rFonts w:ascii="Cambria" w:eastAsia="Times New Roman" w:hAnsi="Cambria" w:cs="Times New Roman"/>
          <w:color w:val="000000"/>
        </w:rPr>
        <w:t xml:space="preserve">During the ROR1 genetic counseling session,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review the purpose of the genomic testing and disclose the child’s test results. For positive test results,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describe the diagnosis, associated symptoms, management recommendations, and life expectancy, if known.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then discuss the inheritance pattern, recurrence risks, and identify at-risk family members who may also require/consider testing. In the case of negative results,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discuss the implications of such a result, such as the possibility that there is a genetic cause for the child’s symptoms that was unable to be identified at this time by this testing.  For ambiguous results,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explain the meaning and uncertainty associated with these types of results and provide recommendations for continued disease management.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also disclose any secondary findings to participants who opted to receive those results.  Psychosocial concerns will be addressed throughout the encounter. Lastly,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will provide medical and support referrals, when appropriate.  At the end of the ROR1 the </w:t>
      </w:r>
      <w:r w:rsidR="002E4320"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will confirm with the participant if they would like the results to be sent via mail or e-mail, and share a copy of GU</w:t>
      </w:r>
      <w:r w:rsidR="002E4320" w:rsidRPr="00485E38">
        <w:rPr>
          <w:rFonts w:ascii="Cambria" w:eastAsia="Times New Roman" w:hAnsi="Cambria" w:cs="Times New Roman"/>
          <w:color w:val="000000"/>
        </w:rPr>
        <w:t>Í</w:t>
      </w:r>
      <w:r w:rsidRPr="00485E38">
        <w:rPr>
          <w:rFonts w:ascii="Cambria" w:eastAsia="Times New Roman" w:hAnsi="Cambria" w:cs="Times New Roman"/>
          <w:color w:val="000000"/>
        </w:rPr>
        <w:t>A</w:t>
      </w:r>
      <w:r w:rsidR="007C59E9" w:rsidRPr="00485E38">
        <w:rPr>
          <w:rFonts w:ascii="Cambria" w:eastAsia="Times New Roman" w:hAnsi="Cambria" w:cs="Times New Roman"/>
          <w:color w:val="000000"/>
        </w:rPr>
        <w:t xml:space="preserve"> and WGS laboratory report</w:t>
      </w:r>
      <w:r w:rsidRPr="00485E38">
        <w:rPr>
          <w:rFonts w:ascii="Cambria" w:eastAsia="Times New Roman" w:hAnsi="Cambria" w:cs="Times New Roman"/>
          <w:color w:val="000000"/>
        </w:rPr>
        <w:t xml:space="preserve"> for the participant</w:t>
      </w:r>
      <w:r w:rsidR="007C59E9" w:rsidRPr="00485E38">
        <w:rPr>
          <w:rFonts w:ascii="Cambria" w:eastAsia="Times New Roman" w:hAnsi="Cambria" w:cs="Times New Roman"/>
          <w:color w:val="000000"/>
        </w:rPr>
        <w:t>s’ records</w:t>
      </w:r>
      <w:r w:rsidRPr="00485E38">
        <w:rPr>
          <w:rFonts w:ascii="Cambria" w:eastAsia="Times New Roman" w:hAnsi="Cambria" w:cs="Times New Roman"/>
          <w:color w:val="000000"/>
        </w:rPr>
        <w:t>.  A copy of the</w:t>
      </w:r>
      <w:r w:rsidR="007C59E9" w:rsidRPr="00485E38">
        <w:rPr>
          <w:rFonts w:ascii="Cambria" w:eastAsia="Times New Roman" w:hAnsi="Cambria" w:cs="Times New Roman"/>
          <w:color w:val="000000"/>
        </w:rPr>
        <w:t>se</w:t>
      </w:r>
      <w:r w:rsidRPr="00485E38">
        <w:rPr>
          <w:rFonts w:ascii="Cambria" w:eastAsia="Times New Roman" w:hAnsi="Cambria" w:cs="Times New Roman"/>
          <w:color w:val="000000"/>
        </w:rPr>
        <w:t xml:space="preserve"> documents will be uploaded to the Media in </w:t>
      </w:r>
      <w:r w:rsidR="007C59E9" w:rsidRPr="00485E38">
        <w:rPr>
          <w:rFonts w:ascii="Cambria" w:eastAsia="Times New Roman" w:hAnsi="Cambria" w:cs="Times New Roman"/>
          <w:color w:val="000000"/>
        </w:rPr>
        <w:t>the electronic medical record (</w:t>
      </w:r>
      <w:r w:rsidR="002E4320" w:rsidRPr="00485E38">
        <w:rPr>
          <w:rFonts w:ascii="Cambria" w:eastAsia="Times New Roman" w:hAnsi="Cambria" w:cs="Times New Roman"/>
          <w:color w:val="000000"/>
        </w:rPr>
        <w:t>EPIC</w:t>
      </w:r>
      <w:r w:rsidR="007C59E9" w:rsidRPr="00485E38">
        <w:rPr>
          <w:rFonts w:ascii="Cambria" w:eastAsia="Times New Roman" w:hAnsi="Cambria" w:cs="Times New Roman"/>
          <w:color w:val="000000"/>
        </w:rPr>
        <w:t>)</w:t>
      </w:r>
      <w:r w:rsidRPr="00485E38">
        <w:rPr>
          <w:rFonts w:ascii="Cambria" w:eastAsia="Times New Roman" w:hAnsi="Cambria" w:cs="Times New Roman"/>
          <w:color w:val="000000"/>
        </w:rPr>
        <w:t>. At the end of the session, parents will take the ROR1 survey and will then receive a $20 gift card.</w:t>
      </w:r>
    </w:p>
    <w:p w14:paraId="3F38982A" w14:textId="77777777" w:rsidR="00A95DF0" w:rsidRPr="00020C67" w:rsidRDefault="00A95DF0" w:rsidP="00020C67">
      <w:pPr>
        <w:spacing w:after="0" w:line="240" w:lineRule="auto"/>
        <w:jc w:val="both"/>
        <w:rPr>
          <w:rFonts w:ascii="Cambria" w:eastAsia="Times New Roman" w:hAnsi="Cambria" w:cs="Times New Roman"/>
        </w:rPr>
      </w:pPr>
    </w:p>
    <w:p w14:paraId="2F007866" w14:textId="28C90F2B" w:rsidR="00A512B8"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 xml:space="preserve">Standardization of Genetic Counseling Sessions: </w:t>
      </w:r>
      <w:r w:rsidRPr="00381CE7">
        <w:rPr>
          <w:rFonts w:ascii="Cambria" w:eastAsia="Times New Roman" w:hAnsi="Cambria" w:cs="Times New Roman"/>
          <w:color w:val="000000"/>
        </w:rPr>
        <w:t xml:space="preserve">In order to ensure that all genetic counseling sessions address the topics described above in the Baseline and ROR1 Visits, </w:t>
      </w:r>
      <w:r w:rsidR="002E4320" w:rsidRPr="00381CE7">
        <w:rPr>
          <w:rFonts w:ascii="Cambria" w:eastAsia="Times New Roman" w:hAnsi="Cambria" w:cs="Times New Roman"/>
          <w:color w:val="000000"/>
        </w:rPr>
        <w:t xml:space="preserve">GC </w:t>
      </w:r>
      <w:r w:rsidRPr="00381047">
        <w:rPr>
          <w:rFonts w:ascii="Cambria" w:eastAsia="Times New Roman" w:hAnsi="Cambria" w:cs="Times New Roman"/>
          <w:color w:val="000000"/>
        </w:rPr>
        <w:t xml:space="preserve">will utilize a pre- and post-test checklist, which is attached in Appendix </w:t>
      </w:r>
      <w:r w:rsidR="00020C67">
        <w:rPr>
          <w:rFonts w:ascii="Cambria" w:eastAsia="Times New Roman" w:hAnsi="Cambria" w:cs="Times New Roman"/>
          <w:color w:val="000000"/>
        </w:rPr>
        <w:t>u</w:t>
      </w:r>
      <w:r w:rsidRPr="00485E38">
        <w:rPr>
          <w:rFonts w:ascii="Cambria" w:eastAsia="Times New Roman" w:hAnsi="Cambria" w:cs="Times New Roman"/>
          <w:color w:val="000000"/>
        </w:rPr>
        <w:t xml:space="preserve"> and </w:t>
      </w:r>
      <w:r w:rsidR="00020C67">
        <w:rPr>
          <w:rFonts w:ascii="Cambria" w:eastAsia="Times New Roman" w:hAnsi="Cambria" w:cs="Times New Roman"/>
          <w:color w:val="000000"/>
        </w:rPr>
        <w:t>v</w:t>
      </w:r>
      <w:r w:rsidRPr="00485E38">
        <w:rPr>
          <w:rFonts w:ascii="Cambria" w:eastAsia="Times New Roman" w:hAnsi="Cambria" w:cs="Times New Roman"/>
          <w:color w:val="000000"/>
        </w:rPr>
        <w:t>. </w:t>
      </w:r>
      <w:r w:rsidR="00A512B8" w:rsidRPr="00485E38">
        <w:rPr>
          <w:rFonts w:ascii="Cambria" w:eastAsia="Times New Roman" w:hAnsi="Cambria" w:cs="Times New Roman"/>
          <w:color w:val="000000"/>
        </w:rPr>
        <w:t>GUÍA will be filled out prior to all sessions, incorporating the genomic results and the medical and support referrals made by the MD via the “Referring Physician Opinion and Recommendations for ROR1” and</w:t>
      </w:r>
      <w:r w:rsidR="008C616C">
        <w:rPr>
          <w:rFonts w:ascii="Cambria" w:eastAsia="Times New Roman" w:hAnsi="Cambria" w:cs="Times New Roman"/>
          <w:color w:val="000000"/>
        </w:rPr>
        <w:t>/or via email with the MD,</w:t>
      </w:r>
      <w:r w:rsidR="00A512B8" w:rsidRPr="00485E38">
        <w:rPr>
          <w:rFonts w:ascii="Cambria" w:eastAsia="Times New Roman" w:hAnsi="Cambria" w:cs="Times New Roman"/>
          <w:color w:val="000000"/>
        </w:rPr>
        <w:t xml:space="preserve"> all participants will receive a PDF copy of the GUÍA report after the post-test counseling by mail or email. </w:t>
      </w:r>
    </w:p>
    <w:p w14:paraId="1C191A88" w14:textId="77777777" w:rsidR="00A95DF0" w:rsidRPr="00020C67" w:rsidRDefault="00A95DF0" w:rsidP="00020C67">
      <w:pPr>
        <w:spacing w:after="0" w:line="240" w:lineRule="auto"/>
        <w:jc w:val="both"/>
        <w:rPr>
          <w:rFonts w:ascii="Cambria" w:eastAsia="Times New Roman" w:hAnsi="Cambria" w:cs="Times New Roman"/>
        </w:rPr>
      </w:pPr>
    </w:p>
    <w:p w14:paraId="0A1B9F2A"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Hard to reach/Lost-to-follow up:</w:t>
      </w:r>
      <w:r w:rsidRPr="00381CE7">
        <w:rPr>
          <w:rFonts w:ascii="Cambria" w:eastAsia="Times New Roman" w:hAnsi="Cambria" w:cs="Times New Roman"/>
          <w:color w:val="000000"/>
        </w:rPr>
        <w:t xml:space="preserve"> We have developed the following approach to address cases where we are unable to reach the family to return the genetic results (ROR1 visit). The study team will contact </w:t>
      </w:r>
      <w:r w:rsidRPr="00485E38">
        <w:rPr>
          <w:rFonts w:ascii="Cambria" w:eastAsia="Times New Roman" w:hAnsi="Cambria" w:cs="Times New Roman"/>
          <w:color w:val="000000"/>
        </w:rPr>
        <w:t xml:space="preserve">the family up to 6 times over a ~45-day window after the results are ready to return. This includes phone calls, emails and texts (where applicable) and mailing of a hard to reach letter (see ‘Final Hard to Reach ROR1 letter’). In our final attempt to contact, we will remind the family that they consented to having their child’s results shared with their child’s physician and these results become part of their medical record. If we do not hear from them, we will proceed with informing the child’s referring provider and upload the results to EPIC. We will also let the family know that they can contact the study team if they wish to receive counseling about the results at a later date, if the study is still active. Our study team will create a note in EPIC stating “that we attempted to reach </w:t>
      </w:r>
      <w:r w:rsidRPr="00485E38">
        <w:rPr>
          <w:rFonts w:ascii="Cambria" w:eastAsia="Times New Roman" w:hAnsi="Cambria" w:cs="Times New Roman"/>
          <w:color w:val="000000"/>
        </w:rPr>
        <w:lastRenderedPageBreak/>
        <w:t>the family and were unsuccessful. The results are in the Media section and we interpret them as follows…”. We will inform the referring provider of this by email as well as routing the note and results to them via EPIC. </w:t>
      </w:r>
    </w:p>
    <w:p w14:paraId="60B5B3DF" w14:textId="77777777" w:rsidR="00A95DF0" w:rsidRPr="00020C67" w:rsidRDefault="00A95DF0" w:rsidP="00020C67">
      <w:pPr>
        <w:spacing w:after="0" w:line="240" w:lineRule="auto"/>
        <w:jc w:val="both"/>
        <w:rPr>
          <w:rFonts w:ascii="Cambria" w:eastAsia="Times New Roman" w:hAnsi="Cambria" w:cs="Times New Roman"/>
        </w:rPr>
      </w:pPr>
    </w:p>
    <w:p w14:paraId="35C252E5" w14:textId="77777777" w:rsidR="00A95DF0" w:rsidRPr="00020C67" w:rsidRDefault="00A95DF0" w:rsidP="00020C67">
      <w:pPr>
        <w:spacing w:after="120" w:line="240" w:lineRule="auto"/>
        <w:ind w:right="54"/>
        <w:jc w:val="both"/>
        <w:rPr>
          <w:rFonts w:ascii="Cambria" w:eastAsia="Times New Roman" w:hAnsi="Cambria" w:cs="Times New Roman"/>
        </w:rPr>
      </w:pPr>
      <w:r w:rsidRPr="009D7DDD">
        <w:rPr>
          <w:rFonts w:ascii="Cambria" w:eastAsia="Times New Roman" w:hAnsi="Cambria" w:cs="Times New Roman"/>
          <w:b/>
          <w:bCs/>
          <w:i/>
          <w:iCs/>
          <w:color w:val="000000"/>
        </w:rPr>
        <w:t>III.e. Return of Results Follow Up Visit 2, aka ROR 2 Visit   </w:t>
      </w:r>
    </w:p>
    <w:p w14:paraId="7AF2EFB5" w14:textId="73B7179B" w:rsidR="00A95DF0" w:rsidRPr="00020C67" w:rsidRDefault="00A95DF0" w:rsidP="00020C67">
      <w:pPr>
        <w:spacing w:after="0" w:line="240" w:lineRule="auto"/>
        <w:ind w:right="54"/>
        <w:jc w:val="both"/>
        <w:rPr>
          <w:rFonts w:ascii="Cambria" w:eastAsia="Times New Roman" w:hAnsi="Cambria" w:cs="Times New Roman"/>
        </w:rPr>
      </w:pPr>
      <w:r w:rsidRPr="009D7DDD">
        <w:rPr>
          <w:rFonts w:ascii="Cambria" w:eastAsia="Times New Roman" w:hAnsi="Cambria" w:cs="Times New Roman"/>
          <w:color w:val="000000"/>
        </w:rPr>
        <w:t>This visit will occur about six m</w:t>
      </w:r>
      <w:r w:rsidRPr="00381CE7">
        <w:rPr>
          <w:rFonts w:ascii="Cambria" w:eastAsia="Times New Roman" w:hAnsi="Cambria" w:cs="Times New Roman"/>
          <w:color w:val="000000"/>
        </w:rPr>
        <w:t>onths after the ROR1 visit, at ~9 months after study entry, and will occur either by secure teleconferencing platform or by phone if a visit is too difficult for</w:t>
      </w:r>
      <w:r w:rsidRPr="00485E38">
        <w:rPr>
          <w:rFonts w:ascii="Cambria" w:eastAsia="Times New Roman" w:hAnsi="Cambria" w:cs="Times New Roman"/>
          <w:color w:val="000000"/>
        </w:rPr>
        <w:t xml:space="preserve"> the family.  At this visit, the CRC will administer the ROR2 survey (see Appendix </w:t>
      </w:r>
      <w:r w:rsidR="00020C67">
        <w:rPr>
          <w:rFonts w:ascii="Cambria" w:eastAsia="Times New Roman" w:hAnsi="Cambria" w:cs="Times New Roman"/>
          <w:color w:val="000000"/>
        </w:rPr>
        <w:t>c</w:t>
      </w:r>
      <w:r w:rsidRPr="00485E38">
        <w:rPr>
          <w:rFonts w:ascii="Cambria" w:eastAsia="Times New Roman" w:hAnsi="Cambria" w:cs="Times New Roman"/>
          <w:color w:val="000000"/>
        </w:rPr>
        <w:t>). We anticipate greater challenges with retaining subjects at this visit, so we will increase the gift card amount to $40 for this visit.</w:t>
      </w:r>
    </w:p>
    <w:p w14:paraId="54E2EEC2" w14:textId="77777777" w:rsidR="00A95DF0" w:rsidRPr="00020C67" w:rsidRDefault="00A95DF0" w:rsidP="00020C67">
      <w:pPr>
        <w:spacing w:after="0" w:line="240" w:lineRule="auto"/>
        <w:jc w:val="both"/>
        <w:rPr>
          <w:rFonts w:ascii="Cambria" w:eastAsia="Times New Roman" w:hAnsi="Cambria" w:cs="Times New Roman"/>
        </w:rPr>
      </w:pPr>
    </w:p>
    <w:p w14:paraId="20EE79FF" w14:textId="77777777" w:rsidR="00A95DF0" w:rsidRPr="00020C67" w:rsidRDefault="00A95DF0" w:rsidP="00020C67">
      <w:pPr>
        <w:spacing w:after="0" w:line="240" w:lineRule="auto"/>
        <w:ind w:right="54"/>
        <w:jc w:val="both"/>
        <w:rPr>
          <w:rFonts w:ascii="Cambria" w:eastAsia="Times New Roman" w:hAnsi="Cambria" w:cs="Times New Roman"/>
        </w:rPr>
      </w:pPr>
      <w:r w:rsidRPr="009D7DDD">
        <w:rPr>
          <w:rFonts w:ascii="Cambria" w:eastAsia="Times New Roman" w:hAnsi="Cambria" w:cs="Times New Roman"/>
          <w:color w:val="000000"/>
        </w:rPr>
        <w:t xml:space="preserve">To maximize follow-up, CRCs will begin calling parents 4 weeks before the visit to begin to arrange follow-up. For those whose </w:t>
      </w:r>
      <w:r w:rsidRPr="00381CE7">
        <w:rPr>
          <w:rFonts w:ascii="Cambria" w:eastAsia="Times New Roman" w:hAnsi="Cambria" w:cs="Times New Roman"/>
          <w:color w:val="000000"/>
        </w:rPr>
        <w:t>contact information is no longer accurate, alternate numbers collected at baseline will be called, and CRCs will query if patients have any appointments within t</w:t>
      </w:r>
      <w:r w:rsidRPr="00485E38">
        <w:rPr>
          <w:rFonts w:ascii="Cambria" w:eastAsia="Times New Roman" w:hAnsi="Cambria" w:cs="Times New Roman"/>
          <w:color w:val="000000"/>
        </w:rPr>
        <w:t>he health system during which they can intercept patients, update contact information and arrange follow-up. They will text (using Google voice number), email and/or mail reminders of upcoming visits. If it is not possible for the parents to join via secure teleconferencing platform, the ROR2 survey will be administered by phone.</w:t>
      </w:r>
    </w:p>
    <w:p w14:paraId="5B5F224C" w14:textId="77777777" w:rsidR="00A95DF0" w:rsidRPr="00020C67" w:rsidRDefault="00A95DF0" w:rsidP="00020C67">
      <w:pPr>
        <w:spacing w:after="0" w:line="240" w:lineRule="auto"/>
        <w:jc w:val="both"/>
        <w:rPr>
          <w:rFonts w:ascii="Cambria" w:eastAsia="Times New Roman" w:hAnsi="Cambria" w:cs="Times New Roman"/>
        </w:rPr>
      </w:pPr>
    </w:p>
    <w:p w14:paraId="6BB3A6CE" w14:textId="6C1E6390" w:rsidR="00A95DF0" w:rsidRPr="00020C67" w:rsidRDefault="00A95DF0" w:rsidP="002E4320">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III.</w:t>
      </w:r>
      <w:r w:rsidR="00543908" w:rsidRPr="00381CE7">
        <w:rPr>
          <w:rFonts w:ascii="Cambria" w:eastAsia="Times New Roman" w:hAnsi="Cambria" w:cs="Times New Roman"/>
          <w:b/>
          <w:bCs/>
          <w:i/>
          <w:iCs/>
          <w:color w:val="000000"/>
        </w:rPr>
        <w:t>i</w:t>
      </w:r>
      <w:r w:rsidRPr="00381CE7">
        <w:rPr>
          <w:rFonts w:ascii="Cambria" w:eastAsia="Times New Roman" w:hAnsi="Cambria" w:cs="Times New Roman"/>
          <w:b/>
          <w:bCs/>
          <w:i/>
          <w:iCs/>
          <w:color w:val="000000"/>
        </w:rPr>
        <w:t>. Discrepancy Committee</w:t>
      </w:r>
    </w:p>
    <w:p w14:paraId="66132DEF" w14:textId="29F7890B" w:rsidR="00A95DF0" w:rsidRPr="00020C67" w:rsidRDefault="00A95DF0" w:rsidP="00A512B8">
      <w:pPr>
        <w:spacing w:after="12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At the request of the study </w:t>
      </w:r>
      <w:r w:rsidR="00A512B8" w:rsidRPr="00381CE7">
        <w:rPr>
          <w:rFonts w:ascii="Cambria" w:eastAsia="Times New Roman" w:hAnsi="Cambria" w:cs="Times New Roman"/>
          <w:color w:val="000000"/>
        </w:rPr>
        <w:t>GCs</w:t>
      </w:r>
      <w:r w:rsidRPr="00381047">
        <w:rPr>
          <w:rFonts w:ascii="Cambria" w:eastAsia="Times New Roman" w:hAnsi="Cambria" w:cs="Times New Roman"/>
          <w:color w:val="000000"/>
        </w:rPr>
        <w:t xml:space="preserve">, we will hold </w:t>
      </w:r>
      <w:r w:rsidRPr="00381047">
        <w:rPr>
          <w:rFonts w:ascii="Cambria" w:eastAsia="Times New Roman" w:hAnsi="Cambria" w:cs="Times New Roman"/>
          <w:i/>
          <w:iCs/>
          <w:color w:val="000000"/>
        </w:rPr>
        <w:t>ad hoc</w:t>
      </w:r>
      <w:r w:rsidRPr="00381047">
        <w:rPr>
          <w:rFonts w:ascii="Cambria" w:eastAsia="Times New Roman" w:hAnsi="Cambria" w:cs="Times New Roman"/>
          <w:color w:val="000000"/>
        </w:rPr>
        <w:t xml:space="preserve"> discrepancy committee meetings to review any</w:t>
      </w:r>
      <w:r w:rsidR="00B1673B" w:rsidRPr="00381047">
        <w:rPr>
          <w:rFonts w:ascii="Cambria" w:eastAsia="Times New Roman" w:hAnsi="Cambria" w:cs="Times New Roman"/>
          <w:color w:val="000000"/>
        </w:rPr>
        <w:t xml:space="preserve"> Tele</w:t>
      </w:r>
      <w:r w:rsidRPr="00485E38">
        <w:rPr>
          <w:rFonts w:ascii="Cambria" w:eastAsia="Times New Roman" w:hAnsi="Cambria" w:cs="Times New Roman"/>
          <w:color w:val="000000"/>
        </w:rPr>
        <w:t xml:space="preserve">KidSeq cases that have confusing, discrepant, or unsatisfying results. The committee will consist of </w:t>
      </w:r>
      <w:r w:rsidR="00B1673B" w:rsidRPr="00485E38">
        <w:rPr>
          <w:rFonts w:ascii="Cambria" w:eastAsia="Times New Roman" w:hAnsi="Cambria" w:cs="Times New Roman"/>
          <w:color w:val="000000"/>
        </w:rPr>
        <w:t>Tele</w:t>
      </w:r>
      <w:r w:rsidRPr="00485E38">
        <w:rPr>
          <w:rFonts w:ascii="Cambria" w:eastAsia="Times New Roman" w:hAnsi="Cambria" w:cs="Times New Roman"/>
          <w:color w:val="000000"/>
        </w:rPr>
        <w:t xml:space="preserve">KidSeq medical geneticists, </w:t>
      </w:r>
      <w:r w:rsidR="00381047">
        <w:rPr>
          <w:rFonts w:ascii="Cambria" w:eastAsia="Times New Roman" w:hAnsi="Cambria" w:cs="Times New Roman"/>
          <w:color w:val="000000"/>
        </w:rPr>
        <w:t>GCs</w:t>
      </w:r>
      <w:r w:rsidRPr="00381047">
        <w:rPr>
          <w:rFonts w:ascii="Cambria" w:eastAsia="Times New Roman" w:hAnsi="Cambria" w:cs="Times New Roman"/>
          <w:color w:val="000000"/>
        </w:rPr>
        <w:t>, lab directors, and referring providers. Each case will be presented to the group and then opened for discussion to determine the sign</w:t>
      </w:r>
      <w:r w:rsidRPr="00485E38">
        <w:rPr>
          <w:rFonts w:ascii="Cambria" w:eastAsia="Times New Roman" w:hAnsi="Cambria" w:cs="Times New Roman"/>
          <w:color w:val="000000"/>
        </w:rPr>
        <w:t>ificance of the genomic results. We will use the decision of the discrepancy committee as our final diagnostic determination. </w:t>
      </w:r>
    </w:p>
    <w:p w14:paraId="08D628D5" w14:textId="77777777" w:rsidR="00A95DF0" w:rsidRPr="00020C67" w:rsidRDefault="00A95DF0" w:rsidP="00020C67">
      <w:pPr>
        <w:spacing w:after="0" w:line="240" w:lineRule="auto"/>
        <w:jc w:val="both"/>
        <w:rPr>
          <w:rFonts w:ascii="Cambria" w:eastAsia="Times New Roman" w:hAnsi="Cambria" w:cs="Times New Roman"/>
        </w:rPr>
      </w:pPr>
    </w:p>
    <w:p w14:paraId="1AE92249" w14:textId="77777777" w:rsidR="00A95DF0" w:rsidRPr="009D7DDD" w:rsidRDefault="00A95DF0" w:rsidP="00020C67">
      <w:pPr>
        <w:numPr>
          <w:ilvl w:val="0"/>
          <w:numId w:val="5"/>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Patient Population</w:t>
      </w:r>
    </w:p>
    <w:p w14:paraId="7CD5191E" w14:textId="77777777" w:rsidR="00A95DF0" w:rsidRPr="00020C67" w:rsidRDefault="00A95DF0" w:rsidP="00020C67">
      <w:pPr>
        <w:spacing w:after="120" w:line="240" w:lineRule="auto"/>
        <w:jc w:val="both"/>
        <w:rPr>
          <w:rFonts w:ascii="Cambria" w:eastAsia="Times New Roman" w:hAnsi="Cambria" w:cs="Times New Roman"/>
        </w:rPr>
      </w:pPr>
      <w:r w:rsidRPr="00381CE7">
        <w:rPr>
          <w:rFonts w:ascii="Cambria" w:eastAsia="Times New Roman" w:hAnsi="Cambria" w:cs="Times New Roman"/>
          <w:b/>
          <w:bCs/>
          <w:i/>
          <w:iCs/>
          <w:color w:val="000000"/>
        </w:rPr>
        <w:t>IV.a. Sample Size</w:t>
      </w:r>
    </w:p>
    <w:p w14:paraId="1631827F" w14:textId="0CFBFBBA"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The total number of subjects expected to participate is </w:t>
      </w:r>
      <w:r w:rsidR="00A512B8" w:rsidRPr="00381CE7">
        <w:rPr>
          <w:rFonts w:ascii="Cambria" w:eastAsia="Times New Roman" w:hAnsi="Cambria" w:cs="Times New Roman"/>
          <w:color w:val="000000"/>
        </w:rPr>
        <w:t>496</w:t>
      </w:r>
      <w:r w:rsidRPr="00381047">
        <w:rPr>
          <w:rFonts w:ascii="Cambria" w:eastAsia="Times New Roman" w:hAnsi="Cambria" w:cs="Times New Roman"/>
          <w:color w:val="000000"/>
        </w:rPr>
        <w:t xml:space="preserve">. </w:t>
      </w:r>
    </w:p>
    <w:p w14:paraId="0467F983" w14:textId="77777777" w:rsidR="00A95DF0" w:rsidRPr="00020C67" w:rsidRDefault="00A95DF0" w:rsidP="00020C67">
      <w:pPr>
        <w:spacing w:after="0" w:line="240" w:lineRule="auto"/>
        <w:jc w:val="both"/>
        <w:rPr>
          <w:rFonts w:ascii="Cambria" w:eastAsia="Times New Roman" w:hAnsi="Cambria" w:cs="Times New Roman"/>
        </w:rPr>
      </w:pPr>
    </w:p>
    <w:p w14:paraId="23DBD2FC"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IV.b. Inclusion Criteria</w:t>
      </w:r>
    </w:p>
    <w:p w14:paraId="4339D075" w14:textId="77777777" w:rsidR="00A95DF0" w:rsidRPr="00020C67" w:rsidRDefault="00A95DF0" w:rsidP="00020C67">
      <w:pPr>
        <w:numPr>
          <w:ilvl w:val="0"/>
          <w:numId w:val="6"/>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Infants, children and young adults up to and including</w:t>
      </w:r>
      <w:r w:rsidRPr="00381CE7">
        <w:rPr>
          <w:rFonts w:ascii="Cambria" w:eastAsia="Times New Roman" w:hAnsi="Cambria" w:cs="Arial"/>
          <w:color w:val="000000"/>
        </w:rPr>
        <w:t xml:space="preserve"> 21 years of age at the time of enrollment; young adults (18-21) who are cognitively intact may participate in this study, but their parent(s) or legal guardian(s) must also agree to participate.</w:t>
      </w:r>
    </w:p>
    <w:p w14:paraId="1BFEFA37" w14:textId="75DB6216" w:rsidR="00A95DF0" w:rsidRPr="00020C67" w:rsidRDefault="00A95DF0" w:rsidP="00020C67">
      <w:pPr>
        <w:numPr>
          <w:ilvl w:val="0"/>
          <w:numId w:val="6"/>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English- or Spanish-speaking parent or legal guardian capabl</w:t>
      </w:r>
      <w:r w:rsidRPr="00381CE7">
        <w:rPr>
          <w:rFonts w:ascii="Cambria" w:eastAsia="Times New Roman" w:hAnsi="Cambria" w:cs="Arial"/>
          <w:color w:val="000000"/>
        </w:rPr>
        <w:t xml:space="preserve">e of providing informed consent, participating in surveys, and able to see </w:t>
      </w:r>
      <w:r w:rsidR="00E6146A" w:rsidRPr="00381CE7">
        <w:rPr>
          <w:rFonts w:ascii="Cambria" w:eastAsia="Times New Roman" w:hAnsi="Cambria" w:cs="Arial"/>
          <w:color w:val="000000"/>
        </w:rPr>
        <w:t>video</w:t>
      </w:r>
      <w:r w:rsidRPr="00381047">
        <w:rPr>
          <w:rFonts w:ascii="Cambria" w:eastAsia="Times New Roman" w:hAnsi="Cambria" w:cs="Arial"/>
          <w:color w:val="000000"/>
        </w:rPr>
        <w:t>;</w:t>
      </w:r>
    </w:p>
    <w:p w14:paraId="1FD1BE10" w14:textId="0898C938" w:rsidR="00A95DF0" w:rsidRPr="00020C67" w:rsidRDefault="00A95DF0" w:rsidP="00020C67">
      <w:pPr>
        <w:numPr>
          <w:ilvl w:val="0"/>
          <w:numId w:val="6"/>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Currently undiagnosed, likely genetic* cause of neurologic, immunologic, or cardiac disorders (*as determined by disorder-specific criteria in Section IIIc. and phenotype che</w:t>
      </w:r>
      <w:r w:rsidRPr="00381CE7">
        <w:rPr>
          <w:rFonts w:ascii="Cambria" w:eastAsia="Times New Roman" w:hAnsi="Cambria" w:cs="Arial"/>
          <w:color w:val="000000"/>
        </w:rPr>
        <w:t xml:space="preserve">cklist Appendix </w:t>
      </w:r>
      <w:r w:rsidR="00020C67">
        <w:rPr>
          <w:rFonts w:ascii="Cambria" w:eastAsia="Times New Roman" w:hAnsi="Cambria" w:cs="Arial"/>
          <w:color w:val="000000"/>
        </w:rPr>
        <w:t>s</w:t>
      </w:r>
      <w:r w:rsidRPr="00381047">
        <w:rPr>
          <w:rFonts w:ascii="Cambria" w:eastAsia="Times New Roman" w:hAnsi="Cambria" w:cs="Arial"/>
          <w:color w:val="000000"/>
        </w:rPr>
        <w:t>);</w:t>
      </w:r>
    </w:p>
    <w:p w14:paraId="7DF1E648" w14:textId="77777777" w:rsidR="00A95DF0" w:rsidRPr="00020C67" w:rsidRDefault="00A95DF0" w:rsidP="00020C67">
      <w:pPr>
        <w:numPr>
          <w:ilvl w:val="0"/>
          <w:numId w:val="6"/>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If targeted gene panels and/or whole exome sequencing were previously done, results must have been returned at least three months before enrollment;</w:t>
      </w:r>
    </w:p>
    <w:p w14:paraId="441C61A6" w14:textId="73FA83EF" w:rsidR="00A95DF0" w:rsidRPr="00020C67" w:rsidRDefault="00A95DF0" w:rsidP="00020C67">
      <w:pPr>
        <w:numPr>
          <w:ilvl w:val="0"/>
          <w:numId w:val="6"/>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If targeted gene panels and/or whole exome sequencing were previously done, results mus</w:t>
      </w:r>
      <w:r w:rsidRPr="00381CE7">
        <w:rPr>
          <w:rFonts w:ascii="Cambria" w:eastAsia="Times New Roman" w:hAnsi="Cambria" w:cs="Arial"/>
          <w:color w:val="000000"/>
        </w:rPr>
        <w:t>t have been negative, or identified only one variant in a potentially causative autosomal recessive gene,</w:t>
      </w:r>
      <w:r w:rsidR="006E697E" w:rsidRPr="00381CE7">
        <w:rPr>
          <w:rFonts w:ascii="Cambria" w:eastAsia="Times New Roman" w:hAnsi="Cambria" w:cs="Arial"/>
          <w:color w:val="000000"/>
        </w:rPr>
        <w:t xml:space="preserve"> or identified variant(s) of uncertain significanc</w:t>
      </w:r>
      <w:r w:rsidR="006E697E" w:rsidRPr="00381047">
        <w:rPr>
          <w:rFonts w:ascii="Cambria" w:eastAsia="Times New Roman" w:hAnsi="Cambria" w:cs="Arial"/>
          <w:color w:val="000000"/>
        </w:rPr>
        <w:t>e,</w:t>
      </w:r>
      <w:r w:rsidRPr="00381047">
        <w:rPr>
          <w:rFonts w:ascii="Cambria" w:eastAsia="Times New Roman" w:hAnsi="Cambria" w:cs="Arial"/>
          <w:color w:val="000000"/>
        </w:rPr>
        <w:t xml:space="preserve"> and</w:t>
      </w:r>
    </w:p>
    <w:p w14:paraId="0FDB0323" w14:textId="77777777" w:rsidR="00A95DF0" w:rsidRPr="00020C67" w:rsidRDefault="00A95DF0" w:rsidP="00020C67">
      <w:pPr>
        <w:numPr>
          <w:ilvl w:val="0"/>
          <w:numId w:val="6"/>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If the parents received genetic counseling about this child, themselves, or a family member, t</w:t>
      </w:r>
      <w:r w:rsidRPr="00381CE7">
        <w:rPr>
          <w:rFonts w:ascii="Cambria" w:eastAsia="Times New Roman" w:hAnsi="Cambria" w:cs="Arial"/>
          <w:color w:val="000000"/>
        </w:rPr>
        <w:t>he last genetic counseling session must have been at least three months before enrollment (*if testing was within 3-months their recruitment will be held until they 3-months or after)</w:t>
      </w:r>
    </w:p>
    <w:p w14:paraId="6014036B" w14:textId="77777777" w:rsidR="00A95DF0" w:rsidRPr="00020C67" w:rsidRDefault="00A95DF0" w:rsidP="00020C67">
      <w:pPr>
        <w:numPr>
          <w:ilvl w:val="0"/>
          <w:numId w:val="6"/>
        </w:numPr>
        <w:spacing w:before="120"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lastRenderedPageBreak/>
        <w:t xml:space="preserve">If patients have undergone karyotyping alone, we do </w:t>
      </w:r>
      <w:r w:rsidRPr="00381CE7">
        <w:rPr>
          <w:rFonts w:ascii="Cambria" w:eastAsia="Times New Roman" w:hAnsi="Cambria" w:cs="Arial"/>
          <w:color w:val="000000"/>
          <w:u w:val="single"/>
        </w:rPr>
        <w:t>not</w:t>
      </w:r>
      <w:r w:rsidRPr="00381CE7">
        <w:rPr>
          <w:rFonts w:ascii="Cambria" w:eastAsia="Times New Roman" w:hAnsi="Cambria" w:cs="Arial"/>
          <w:color w:val="000000"/>
        </w:rPr>
        <w:t xml:space="preserve"> have to wait 3 months prior to inclusion.</w:t>
      </w:r>
    </w:p>
    <w:p w14:paraId="7AD4186D" w14:textId="77777777" w:rsidR="00A95DF0" w:rsidRPr="00020C67" w:rsidRDefault="00A95DF0" w:rsidP="00020C67">
      <w:pPr>
        <w:numPr>
          <w:ilvl w:val="0"/>
          <w:numId w:val="6"/>
        </w:numPr>
        <w:spacing w:before="120"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Participating parent(s)/guardian(s) must have access to a secure teleconferencing platform.</w:t>
      </w:r>
    </w:p>
    <w:p w14:paraId="35BA17C4" w14:textId="77777777" w:rsidR="00A95DF0" w:rsidRPr="00020C67" w:rsidRDefault="00A95DF0" w:rsidP="00020C67">
      <w:pPr>
        <w:spacing w:after="0" w:line="240" w:lineRule="auto"/>
        <w:jc w:val="both"/>
        <w:rPr>
          <w:rFonts w:ascii="Cambria" w:eastAsia="Times New Roman" w:hAnsi="Cambria" w:cs="Times New Roman"/>
        </w:rPr>
      </w:pPr>
    </w:p>
    <w:p w14:paraId="3F2E91F2"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IV.c. Exclusion Criteria</w:t>
      </w:r>
    </w:p>
    <w:p w14:paraId="78A1BF49"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color w:val="000000"/>
        </w:rPr>
        <w:t>Individuals will be excluded if:</w:t>
      </w:r>
    </w:p>
    <w:p w14:paraId="70345392" w14:textId="77777777" w:rsidR="00A95DF0" w:rsidRPr="00020C67" w:rsidRDefault="00A95DF0" w:rsidP="00020C67">
      <w:pPr>
        <w:numPr>
          <w:ilvl w:val="0"/>
          <w:numId w:val="7"/>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The referred child is currently participating in a different genetic sequencing</w:t>
      </w:r>
      <w:r w:rsidRPr="00381CE7">
        <w:rPr>
          <w:rFonts w:ascii="Cambria" w:eastAsia="Times New Roman" w:hAnsi="Cambria" w:cs="Arial"/>
          <w:color w:val="000000"/>
        </w:rPr>
        <w:t xml:space="preserve"> study that includes genetic counseling and/or return of results before the participant’s ROR2 visit, and</w:t>
      </w:r>
    </w:p>
    <w:p w14:paraId="2276F237" w14:textId="77777777" w:rsidR="00A95DF0" w:rsidRPr="00020C67" w:rsidRDefault="00A95DF0" w:rsidP="00020C67">
      <w:pPr>
        <w:numPr>
          <w:ilvl w:val="0"/>
          <w:numId w:val="7"/>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If they have a known or likely molecular genetic diagnosis for their neurologic, immunologic, or cardiac disorder.</w:t>
      </w:r>
    </w:p>
    <w:p w14:paraId="4836EA4B" w14:textId="77777777" w:rsidR="00A95DF0" w:rsidRPr="00020C67" w:rsidRDefault="00A95DF0" w:rsidP="00020C67">
      <w:pPr>
        <w:numPr>
          <w:ilvl w:val="0"/>
          <w:numId w:val="7"/>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They have had a bone-marrow transpl</w:t>
      </w:r>
      <w:r w:rsidRPr="00381CE7">
        <w:rPr>
          <w:rFonts w:ascii="Cambria" w:eastAsia="Times New Roman" w:hAnsi="Cambria" w:cs="Arial"/>
          <w:color w:val="000000"/>
        </w:rPr>
        <w:t>ant.</w:t>
      </w:r>
    </w:p>
    <w:p w14:paraId="7DC70F91" w14:textId="003A9BB7" w:rsidR="00A95DF0" w:rsidRPr="00020C67" w:rsidRDefault="00A95DF0" w:rsidP="00020C67">
      <w:pPr>
        <w:numPr>
          <w:ilvl w:val="0"/>
          <w:numId w:val="7"/>
        </w:numPr>
        <w:spacing w:after="0" w:line="240" w:lineRule="auto"/>
        <w:jc w:val="both"/>
        <w:textAlignment w:val="baseline"/>
        <w:rPr>
          <w:rFonts w:ascii="Cambria" w:eastAsia="Times New Roman" w:hAnsi="Cambria" w:cs="Arial"/>
          <w:color w:val="000000"/>
        </w:rPr>
      </w:pPr>
      <w:r w:rsidRPr="009D7DDD">
        <w:rPr>
          <w:rFonts w:ascii="Cambria" w:eastAsia="Times New Roman" w:hAnsi="Cambria" w:cs="Arial"/>
          <w:color w:val="000000"/>
        </w:rPr>
        <w:t xml:space="preserve">Families who do not have </w:t>
      </w:r>
      <w:r w:rsidR="00512C76" w:rsidRPr="00381CE7">
        <w:rPr>
          <w:rFonts w:ascii="Cambria" w:eastAsia="Times New Roman" w:hAnsi="Cambria" w:cs="Arial"/>
          <w:color w:val="000000"/>
        </w:rPr>
        <w:t xml:space="preserve">access to </w:t>
      </w:r>
      <w:r w:rsidRPr="00381CE7">
        <w:rPr>
          <w:rFonts w:ascii="Cambria" w:eastAsia="Times New Roman" w:hAnsi="Cambria" w:cs="Arial"/>
          <w:color w:val="000000"/>
        </w:rPr>
        <w:t>video conferencing capabilities and decline to come to EM</w:t>
      </w:r>
      <w:r w:rsidR="008C616C">
        <w:rPr>
          <w:rFonts w:ascii="Cambria" w:eastAsia="Times New Roman" w:hAnsi="Cambria" w:cs="Arial"/>
          <w:color w:val="000000"/>
        </w:rPr>
        <w:t xml:space="preserve"> or </w:t>
      </w:r>
      <w:r w:rsidRPr="00381047">
        <w:rPr>
          <w:rFonts w:ascii="Cambria" w:eastAsia="Times New Roman" w:hAnsi="Cambria" w:cs="Arial"/>
          <w:color w:val="000000"/>
        </w:rPr>
        <w:t>MS</w:t>
      </w:r>
      <w:r w:rsidR="008C616C">
        <w:rPr>
          <w:rFonts w:ascii="Cambria" w:eastAsia="Times New Roman" w:hAnsi="Cambria" w:cs="Arial"/>
          <w:color w:val="000000"/>
        </w:rPr>
        <w:t xml:space="preserve"> </w:t>
      </w:r>
      <w:r w:rsidRPr="00381047">
        <w:rPr>
          <w:rFonts w:ascii="Cambria" w:eastAsia="Times New Roman" w:hAnsi="Cambria" w:cs="Arial"/>
          <w:color w:val="000000"/>
        </w:rPr>
        <w:t>for ROR1 using the i</w:t>
      </w:r>
      <w:r w:rsidR="00512C76" w:rsidRPr="00381047">
        <w:rPr>
          <w:rFonts w:ascii="Cambria" w:eastAsia="Times New Roman" w:hAnsi="Cambria" w:cs="Arial"/>
          <w:color w:val="000000"/>
        </w:rPr>
        <w:t>P</w:t>
      </w:r>
      <w:r w:rsidRPr="00381047">
        <w:rPr>
          <w:rFonts w:ascii="Cambria" w:eastAsia="Times New Roman" w:hAnsi="Cambria" w:cs="Arial"/>
          <w:color w:val="000000"/>
        </w:rPr>
        <w:t>ad</w:t>
      </w:r>
      <w:r w:rsidR="00512C76" w:rsidRPr="00381047">
        <w:rPr>
          <w:rFonts w:ascii="Cambria" w:eastAsia="Times New Roman" w:hAnsi="Cambria" w:cs="Arial"/>
          <w:color w:val="000000"/>
        </w:rPr>
        <w:t xml:space="preserve">. These individuals will instead be referred to clinical genetics at either EM or MS for follow-up. </w:t>
      </w:r>
      <w:r w:rsidRPr="00381047">
        <w:rPr>
          <w:rFonts w:ascii="Cambria" w:eastAsia="Times New Roman" w:hAnsi="Cambria" w:cs="Arial"/>
          <w:color w:val="000000"/>
        </w:rPr>
        <w:t> </w:t>
      </w:r>
    </w:p>
    <w:p w14:paraId="58AD2316" w14:textId="77777777" w:rsidR="00A95DF0" w:rsidRPr="00020C67" w:rsidRDefault="00A95DF0" w:rsidP="00020C67">
      <w:pPr>
        <w:spacing w:after="0" w:line="240" w:lineRule="auto"/>
        <w:jc w:val="both"/>
        <w:rPr>
          <w:rFonts w:ascii="Cambria" w:eastAsia="Times New Roman" w:hAnsi="Cambria" w:cs="Times New Roman"/>
        </w:rPr>
      </w:pPr>
    </w:p>
    <w:p w14:paraId="0527F51D"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IV.d. Sex of Subjects</w:t>
      </w:r>
    </w:p>
    <w:p w14:paraId="68F2FF26"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While w</w:t>
      </w:r>
      <w:r w:rsidRPr="00381CE7">
        <w:rPr>
          <w:rFonts w:ascii="Cambria" w:eastAsia="Times New Roman" w:hAnsi="Cambria" w:cs="Times New Roman"/>
          <w:color w:val="000000"/>
        </w:rPr>
        <w:t>e anticipate having equal numbers of genetically male and female participants, this may vary if a significant number of par</w:t>
      </w:r>
      <w:r w:rsidRPr="00381047">
        <w:rPr>
          <w:rFonts w:ascii="Cambria" w:eastAsia="Times New Roman" w:hAnsi="Cambria" w:cs="Times New Roman"/>
          <w:color w:val="000000"/>
        </w:rPr>
        <w:t>ticipants have X-linked genetic disorders, which typically have more pronounced phenotypes in genetic males. No sex is being excluded. </w:t>
      </w:r>
    </w:p>
    <w:p w14:paraId="4D3335B0" w14:textId="77777777" w:rsidR="00A95DF0" w:rsidRPr="00020C67" w:rsidRDefault="00A95DF0" w:rsidP="00020C67">
      <w:pPr>
        <w:spacing w:after="0" w:line="240" w:lineRule="auto"/>
        <w:jc w:val="both"/>
        <w:rPr>
          <w:rFonts w:ascii="Cambria" w:eastAsia="Times New Roman" w:hAnsi="Cambria" w:cs="Times New Roman"/>
        </w:rPr>
      </w:pPr>
    </w:p>
    <w:p w14:paraId="409F7575"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IV.e. Age of Subjects</w:t>
      </w:r>
    </w:p>
    <w:p w14:paraId="4069DF26"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For all phenotypes, infants, children and young adults who are 21 years of age or under at the time of enrollment are included in this study.  </w:t>
      </w:r>
    </w:p>
    <w:p w14:paraId="38A27FE2" w14:textId="77777777" w:rsidR="00A95DF0" w:rsidRPr="00020C67" w:rsidRDefault="00A95DF0" w:rsidP="00020C67">
      <w:pPr>
        <w:spacing w:after="0" w:line="240" w:lineRule="auto"/>
        <w:jc w:val="both"/>
        <w:rPr>
          <w:rFonts w:ascii="Cambria" w:eastAsia="Times New Roman" w:hAnsi="Cambria" w:cs="Times New Roman"/>
        </w:rPr>
      </w:pPr>
    </w:p>
    <w:p w14:paraId="4D10DB17"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IV.f. Racial and Ethnic Origin</w:t>
      </w:r>
    </w:p>
    <w:p w14:paraId="1AB1E0F7" w14:textId="63745A59"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Subjects of all racial and ethnic backgrounds are incl</w:t>
      </w:r>
      <w:r w:rsidRPr="00381CE7">
        <w:rPr>
          <w:rFonts w:ascii="Cambria" w:eastAsia="Times New Roman" w:hAnsi="Cambria" w:cs="Times New Roman"/>
          <w:color w:val="000000"/>
        </w:rPr>
        <w:t>uded in this study, with the following distribution of race/ethnicity: approximately 1/3 Black/African ancestry; 1/3 Latino</w:t>
      </w:r>
      <w:r w:rsidRPr="00381047">
        <w:rPr>
          <w:rFonts w:ascii="Cambria" w:eastAsia="Times New Roman" w:hAnsi="Cambria" w:cs="Times New Roman"/>
          <w:color w:val="000000"/>
        </w:rPr>
        <w:t xml:space="preserve">/Hispanic ancestry, and 1/3 White/ European ancestry. If this expectation is incorrect, we will cap inclusion of </w:t>
      </w:r>
      <w:r w:rsidR="00A512B8" w:rsidRPr="00485E38">
        <w:rPr>
          <w:rFonts w:ascii="Cambria" w:eastAsia="Times New Roman" w:hAnsi="Cambria" w:cs="Times New Roman"/>
          <w:color w:val="000000"/>
        </w:rPr>
        <w:t xml:space="preserve">European ancestry </w:t>
      </w:r>
      <w:r w:rsidRPr="00485E38">
        <w:rPr>
          <w:rFonts w:ascii="Cambria" w:eastAsia="Times New Roman" w:hAnsi="Cambria" w:cs="Times New Roman"/>
          <w:color w:val="000000"/>
        </w:rPr>
        <w:t>children at &lt;40% of total participants, to ensure at least 60% are from underserved populations, consistent with the requirements of this funding opportunity.</w:t>
      </w:r>
    </w:p>
    <w:p w14:paraId="351034E1" w14:textId="77777777" w:rsidR="00A95DF0" w:rsidRPr="00020C67" w:rsidRDefault="00A95DF0" w:rsidP="00020C67">
      <w:pPr>
        <w:spacing w:after="0" w:line="240" w:lineRule="auto"/>
        <w:jc w:val="both"/>
        <w:rPr>
          <w:rFonts w:ascii="Cambria" w:eastAsia="Times New Roman" w:hAnsi="Cambria" w:cs="Times New Roman"/>
        </w:rPr>
      </w:pPr>
    </w:p>
    <w:p w14:paraId="49C96AB6" w14:textId="77777777" w:rsidR="00A95DF0" w:rsidRPr="00020C67" w:rsidRDefault="00A95DF0" w:rsidP="00020C67">
      <w:pPr>
        <w:spacing w:after="120" w:line="240" w:lineRule="auto"/>
        <w:ind w:hanging="720"/>
        <w:jc w:val="both"/>
        <w:rPr>
          <w:rFonts w:ascii="Cambria" w:eastAsia="Times New Roman" w:hAnsi="Cambria" w:cs="Times New Roman"/>
        </w:rPr>
      </w:pPr>
      <w:r w:rsidRPr="009D7DDD">
        <w:rPr>
          <w:rFonts w:ascii="Cambria" w:eastAsia="Times New Roman" w:hAnsi="Cambria" w:cs="Times New Roman"/>
          <w:b/>
          <w:bCs/>
          <w:i/>
          <w:iCs/>
          <w:color w:val="000000"/>
        </w:rPr>
        <w:t>IV.g. Vulnerable Subjects</w:t>
      </w:r>
    </w:p>
    <w:p w14:paraId="4F0FB330" w14:textId="01BB023F"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This study is a pediatric and young adult study; therefore infants, children and tee</w:t>
      </w:r>
      <w:r w:rsidRPr="00381CE7">
        <w:rPr>
          <w:rFonts w:ascii="Cambria" w:eastAsia="Times New Roman" w:hAnsi="Cambria" w:cs="Times New Roman"/>
          <w:color w:val="000000"/>
        </w:rPr>
        <w:t xml:space="preserve">nagers will have the opportunity to enroll with a parental/guardian who is capable of providing informed </w:t>
      </w:r>
      <w:r w:rsidRPr="00381047">
        <w:rPr>
          <w:rFonts w:ascii="Cambria" w:eastAsia="Times New Roman" w:hAnsi="Cambria" w:cs="Times New Roman"/>
          <w:color w:val="000000"/>
        </w:rPr>
        <w:t>consent. Young adults (18-21) with intellectual disability whose parents have legal guardianship and are capable of providing informed consent are also able to participate. Cognitively intact teens or young adults who are pregnant or who have a pregnant partner</w:t>
      </w:r>
      <w:r w:rsidRPr="00485E38">
        <w:rPr>
          <w:rFonts w:ascii="Cambria" w:eastAsia="Times New Roman" w:hAnsi="Cambria" w:cs="Times New Roman"/>
          <w:i/>
          <w:iCs/>
          <w:color w:val="000000"/>
        </w:rPr>
        <w:t xml:space="preserve"> </w:t>
      </w:r>
      <w:r w:rsidRPr="00485E38">
        <w:rPr>
          <w:rFonts w:ascii="Cambria" w:eastAsia="Times New Roman" w:hAnsi="Cambria" w:cs="Times New Roman"/>
          <w:color w:val="000000"/>
        </w:rPr>
        <w:t xml:space="preserve">may also be included but they will be counseled against use of this research testing for prenatal purposes and will be immediately referred to a non-study related prenatal </w:t>
      </w:r>
      <w:r w:rsidR="00381047">
        <w:rPr>
          <w:rFonts w:ascii="Cambria" w:eastAsia="Times New Roman" w:hAnsi="Cambria" w:cs="Times New Roman"/>
          <w:color w:val="000000"/>
        </w:rPr>
        <w:t>GC</w:t>
      </w:r>
      <w:r w:rsidRPr="00381047">
        <w:rPr>
          <w:rFonts w:ascii="Cambria" w:eastAsia="Times New Roman" w:hAnsi="Cambria" w:cs="Times New Roman"/>
          <w:color w:val="000000"/>
        </w:rPr>
        <w:t>, with whom our study team will retain close communication.</w:t>
      </w:r>
    </w:p>
    <w:p w14:paraId="285A27EF" w14:textId="77777777" w:rsidR="00A95DF0" w:rsidRPr="00020C67" w:rsidRDefault="00A95DF0" w:rsidP="00020C67">
      <w:pPr>
        <w:spacing w:after="0" w:line="240" w:lineRule="auto"/>
        <w:jc w:val="both"/>
        <w:rPr>
          <w:rFonts w:ascii="Cambria" w:eastAsia="Times New Roman" w:hAnsi="Cambria" w:cs="Times New Roman"/>
        </w:rPr>
      </w:pPr>
    </w:p>
    <w:p w14:paraId="25BABA17"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All of our potential subjects are children or young adults with a likely genetic etiology of their illness. Their participation is justified as there i</w:t>
      </w:r>
      <w:r w:rsidRPr="00381CE7">
        <w:rPr>
          <w:rFonts w:ascii="Cambria" w:eastAsia="Times New Roman" w:hAnsi="Cambria" w:cs="Times New Roman"/>
          <w:color w:val="000000"/>
        </w:rPr>
        <w:t>s a potential of direct benefit (diagnosis) with minimal risk.</w:t>
      </w:r>
    </w:p>
    <w:p w14:paraId="0781DC06" w14:textId="77777777" w:rsidR="00A95DF0" w:rsidRPr="00020C67" w:rsidRDefault="00A95DF0" w:rsidP="00020C67">
      <w:pPr>
        <w:spacing w:after="0" w:line="240" w:lineRule="auto"/>
        <w:jc w:val="both"/>
        <w:rPr>
          <w:rFonts w:ascii="Cambria" w:eastAsia="Times New Roman" w:hAnsi="Cambria" w:cs="Times New Roman"/>
        </w:rPr>
      </w:pPr>
    </w:p>
    <w:p w14:paraId="1BE29997" w14:textId="77777777" w:rsidR="00A95DF0" w:rsidRPr="009D7DDD" w:rsidRDefault="00A95DF0" w:rsidP="00020C67">
      <w:pPr>
        <w:numPr>
          <w:ilvl w:val="0"/>
          <w:numId w:val="8"/>
        </w:numPr>
        <w:spacing w:after="0" w:line="240" w:lineRule="auto"/>
        <w:ind w:right="58"/>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Recruitment and Retention</w:t>
      </w:r>
    </w:p>
    <w:p w14:paraId="5F2AED4D" w14:textId="77777777" w:rsidR="00A95DF0" w:rsidRPr="00020C67" w:rsidRDefault="00A95DF0" w:rsidP="00020C67">
      <w:pPr>
        <w:spacing w:before="120" w:after="0" w:line="240" w:lineRule="auto"/>
        <w:ind w:right="58" w:hanging="720"/>
        <w:jc w:val="both"/>
        <w:rPr>
          <w:rFonts w:ascii="Cambria" w:eastAsia="Times New Roman" w:hAnsi="Cambria" w:cs="Times New Roman"/>
        </w:rPr>
      </w:pPr>
      <w:r w:rsidRPr="00381CE7">
        <w:rPr>
          <w:rFonts w:ascii="Cambria" w:eastAsia="Times New Roman" w:hAnsi="Cambria" w:cs="Times New Roman"/>
          <w:b/>
          <w:bCs/>
          <w:i/>
          <w:iCs/>
          <w:color w:val="000000"/>
        </w:rPr>
        <w:t>V.a. Recruitment Overview</w:t>
      </w:r>
    </w:p>
    <w:p w14:paraId="75678A18" w14:textId="253F8DCC" w:rsidR="006E121B" w:rsidRPr="00020C67" w:rsidRDefault="00BB7A04" w:rsidP="00020C67">
      <w:pPr>
        <w:spacing w:before="120" w:after="0" w:line="240" w:lineRule="auto"/>
        <w:ind w:right="58"/>
        <w:jc w:val="both"/>
        <w:rPr>
          <w:rFonts w:ascii="Cambria" w:eastAsia="Times New Roman" w:hAnsi="Cambria" w:cs="Times New Roman"/>
        </w:rPr>
      </w:pPr>
      <w:r w:rsidRPr="009D7DDD">
        <w:rPr>
          <w:rFonts w:ascii="Cambria" w:eastAsia="Times New Roman" w:hAnsi="Cambria" w:cs="Times New Roman"/>
          <w:color w:val="000000"/>
        </w:rPr>
        <w:lastRenderedPageBreak/>
        <w:t>Many of our</w:t>
      </w:r>
      <w:r w:rsidR="00A95DF0" w:rsidRPr="00381CE7">
        <w:rPr>
          <w:rFonts w:ascii="Cambria" w:eastAsia="Times New Roman" w:hAnsi="Cambria" w:cs="Times New Roman"/>
          <w:color w:val="000000"/>
        </w:rPr>
        <w:t xml:space="preserve"> participants will be under the care of </w:t>
      </w:r>
      <w:r w:rsidR="00A512B8" w:rsidRPr="00381047">
        <w:rPr>
          <w:rFonts w:ascii="Cambria" w:eastAsia="Times New Roman" w:hAnsi="Cambria" w:cs="Times New Roman"/>
          <w:color w:val="000000"/>
        </w:rPr>
        <w:t>physicians at MS or EM</w:t>
      </w:r>
      <w:r w:rsidR="00A95DF0" w:rsidRPr="00381047">
        <w:rPr>
          <w:rFonts w:ascii="Cambria" w:eastAsia="Times New Roman" w:hAnsi="Cambria" w:cs="Times New Roman"/>
          <w:color w:val="000000"/>
        </w:rPr>
        <w:t xml:space="preserve">. </w:t>
      </w:r>
      <w:r w:rsidR="006E121B" w:rsidRPr="00381047">
        <w:rPr>
          <w:rFonts w:ascii="Cambria" w:eastAsia="Times New Roman" w:hAnsi="Cambria" w:cs="Times New Roman"/>
          <w:color w:val="000000"/>
        </w:rPr>
        <w:t xml:space="preserve">We will also recruit from local specialty practices that focus on patients with the indications in Section </w:t>
      </w:r>
      <w:r w:rsidR="00527440" w:rsidRPr="00381047">
        <w:rPr>
          <w:rFonts w:ascii="Cambria" w:eastAsia="Times New Roman" w:hAnsi="Cambria" w:cs="Times New Roman"/>
          <w:color w:val="000000"/>
        </w:rPr>
        <w:t>II.c</w:t>
      </w:r>
      <w:r w:rsidR="006E121B" w:rsidRPr="00381047">
        <w:rPr>
          <w:rFonts w:ascii="Cambria" w:eastAsia="Times New Roman" w:hAnsi="Cambria" w:cs="Times New Roman"/>
          <w:color w:val="000000"/>
        </w:rPr>
        <w:t xml:space="preserve">. </w:t>
      </w:r>
    </w:p>
    <w:p w14:paraId="0CDE8CB3" w14:textId="122F9F42" w:rsidR="00A95DF0" w:rsidRPr="00485E38" w:rsidRDefault="00A95DF0" w:rsidP="00020C67">
      <w:pPr>
        <w:spacing w:before="120" w:after="0" w:line="240" w:lineRule="auto"/>
        <w:ind w:right="58"/>
        <w:jc w:val="both"/>
        <w:rPr>
          <w:rFonts w:ascii="Cambria" w:eastAsia="Times New Roman" w:hAnsi="Cambria" w:cs="Times New Roman"/>
          <w:color w:val="000000"/>
        </w:rPr>
      </w:pPr>
      <w:r w:rsidRPr="009D7DDD">
        <w:rPr>
          <w:rFonts w:ascii="Cambria" w:eastAsia="Times New Roman" w:hAnsi="Cambria" w:cs="Times New Roman"/>
          <w:color w:val="000000"/>
        </w:rPr>
        <w:t xml:space="preserve">Prior to first enrollment, a member of the study team will meet with each </w:t>
      </w:r>
      <w:r w:rsidR="000F369A" w:rsidRPr="00381CE7">
        <w:rPr>
          <w:rFonts w:ascii="Cambria" w:eastAsia="Times New Roman" w:hAnsi="Cambria" w:cs="Times New Roman"/>
          <w:color w:val="000000"/>
        </w:rPr>
        <w:t>referring division or practice</w:t>
      </w:r>
      <w:r w:rsidRPr="00381CE7">
        <w:rPr>
          <w:rFonts w:ascii="Cambria" w:eastAsia="Times New Roman" w:hAnsi="Cambria" w:cs="Times New Roman"/>
          <w:color w:val="000000"/>
        </w:rPr>
        <w:t xml:space="preserve"> to teach them about the study and discuss how to inform their </w:t>
      </w:r>
      <w:r w:rsidRPr="00381047">
        <w:rPr>
          <w:rFonts w:ascii="Cambria" w:eastAsia="Times New Roman" w:hAnsi="Cambria" w:cs="Times New Roman"/>
          <w:color w:val="000000"/>
        </w:rPr>
        <w:t xml:space="preserve">physician about a potential participant.  The </w:t>
      </w:r>
      <w:r w:rsidR="006E121B" w:rsidRPr="00485E38">
        <w:rPr>
          <w:rFonts w:ascii="Cambria" w:eastAsia="Times New Roman" w:hAnsi="Cambria" w:cs="Times New Roman"/>
          <w:color w:val="000000"/>
        </w:rPr>
        <w:t xml:space="preserve">referring </w:t>
      </w:r>
      <w:r w:rsidRPr="00485E38">
        <w:rPr>
          <w:rFonts w:ascii="Cambria" w:eastAsia="Times New Roman" w:hAnsi="Cambria" w:cs="Times New Roman"/>
          <w:color w:val="000000"/>
        </w:rPr>
        <w:t>physician</w:t>
      </w:r>
      <w:r w:rsidR="006E121B" w:rsidRPr="00485E38">
        <w:rPr>
          <w:rFonts w:ascii="Cambria" w:eastAsia="Times New Roman" w:hAnsi="Cambria" w:cs="Times New Roman"/>
          <w:color w:val="000000"/>
        </w:rPr>
        <w:t>s</w:t>
      </w:r>
      <w:r w:rsidRPr="00485E38">
        <w:rPr>
          <w:rFonts w:ascii="Cambria" w:eastAsia="Times New Roman" w:hAnsi="Cambria" w:cs="Times New Roman"/>
          <w:color w:val="000000"/>
        </w:rPr>
        <w:t xml:space="preserve"> will be in frequent contact with the CRC, and will regularly update him/her about all potential participants.  </w:t>
      </w:r>
    </w:p>
    <w:p w14:paraId="50C86DD1" w14:textId="77777777" w:rsidR="00A95DF0" w:rsidRPr="00020C67" w:rsidRDefault="00A95DF0" w:rsidP="00020C67">
      <w:pPr>
        <w:spacing w:before="120" w:after="0" w:line="240" w:lineRule="auto"/>
        <w:ind w:right="58"/>
        <w:jc w:val="both"/>
        <w:rPr>
          <w:rFonts w:ascii="Cambria" w:eastAsia="Times New Roman" w:hAnsi="Cambria" w:cs="Times New Roman"/>
        </w:rPr>
      </w:pPr>
      <w:r w:rsidRPr="00485E38">
        <w:rPr>
          <w:rFonts w:ascii="Cambria" w:eastAsia="Times New Roman" w:hAnsi="Cambria" w:cs="Times New Roman"/>
          <w:color w:val="000000"/>
        </w:rPr>
        <w:t>Prior to any contact with the study team, potential (referred) participants will be pre-screened to ensure eligibility. A HIPAA waiver is being requested to assist with the pre-screening EPIC review (see Section III.a.). </w:t>
      </w:r>
    </w:p>
    <w:p w14:paraId="3429CD02" w14:textId="77777777" w:rsidR="00A95DF0" w:rsidRPr="00020C67" w:rsidRDefault="00A95DF0" w:rsidP="00020C67">
      <w:pPr>
        <w:spacing w:before="120" w:after="0" w:line="240" w:lineRule="auto"/>
        <w:ind w:right="58"/>
        <w:jc w:val="both"/>
        <w:rPr>
          <w:rFonts w:ascii="Cambria" w:eastAsia="Times New Roman" w:hAnsi="Cambria" w:cs="Times New Roman"/>
        </w:rPr>
      </w:pPr>
      <w:r w:rsidRPr="009D7DDD">
        <w:rPr>
          <w:rFonts w:ascii="Cambria" w:eastAsia="Times New Roman" w:hAnsi="Cambria" w:cs="Times New Roman"/>
          <w:color w:val="000000"/>
        </w:rPr>
        <w:t>There are three main scenarios for recruitment:</w:t>
      </w:r>
    </w:p>
    <w:p w14:paraId="42AA96A6" w14:textId="715DB5B1" w:rsidR="00A95DF0" w:rsidRPr="00020C67" w:rsidRDefault="00A95DF0" w:rsidP="00020C67">
      <w:pPr>
        <w:numPr>
          <w:ilvl w:val="0"/>
          <w:numId w:val="9"/>
        </w:numPr>
        <w:spacing w:before="120" w:after="0" w:line="240" w:lineRule="auto"/>
        <w:ind w:right="58"/>
        <w:jc w:val="both"/>
        <w:textAlignment w:val="baseline"/>
        <w:rPr>
          <w:rFonts w:ascii="Cambria" w:eastAsia="Times New Roman" w:hAnsi="Cambria" w:cs="Arial"/>
          <w:i/>
          <w:iCs/>
          <w:color w:val="000000"/>
        </w:rPr>
      </w:pPr>
      <w:r w:rsidRPr="009D7DDD">
        <w:rPr>
          <w:rFonts w:ascii="Cambria" w:eastAsia="Times New Roman" w:hAnsi="Cambria" w:cs="Arial"/>
          <w:i/>
          <w:iCs/>
          <w:color w:val="000000"/>
        </w:rPr>
        <w:t xml:space="preserve">During a routine clinic visit: </w:t>
      </w:r>
      <w:r w:rsidRPr="00381CE7">
        <w:rPr>
          <w:rFonts w:ascii="Cambria" w:eastAsia="Times New Roman" w:hAnsi="Cambria" w:cs="Arial"/>
          <w:color w:val="000000"/>
        </w:rPr>
        <w:t xml:space="preserve">The CRC will find out from the physician or </w:t>
      </w:r>
      <w:r w:rsidR="00A512B8" w:rsidRPr="00381047">
        <w:rPr>
          <w:rFonts w:ascii="Cambria" w:eastAsia="Times New Roman" w:hAnsi="Cambria" w:cs="Arial"/>
          <w:color w:val="000000"/>
        </w:rPr>
        <w:t xml:space="preserve">EPIC </w:t>
      </w:r>
      <w:r w:rsidRPr="00381047">
        <w:rPr>
          <w:rFonts w:ascii="Cambria" w:eastAsia="Times New Roman" w:hAnsi="Cambria" w:cs="Arial"/>
          <w:color w:val="000000"/>
        </w:rPr>
        <w:t>when the referred participant is next due in clinic and will pl</w:t>
      </w:r>
      <w:r w:rsidRPr="00485E38">
        <w:rPr>
          <w:rFonts w:ascii="Cambria" w:eastAsia="Times New Roman" w:hAnsi="Cambria" w:cs="Arial"/>
          <w:color w:val="000000"/>
        </w:rPr>
        <w:t xml:space="preserve">an to meet with them at that time. The physician is responsible for introducing the study to the family, and if the family is interested, will then introduce the CRC to them for further discussion. Bullet points for the physician are attached in Appendix </w:t>
      </w:r>
      <w:r w:rsidR="00020C67">
        <w:rPr>
          <w:rFonts w:ascii="Cambria" w:eastAsia="Times New Roman" w:hAnsi="Cambria" w:cs="Arial"/>
          <w:color w:val="000000"/>
        </w:rPr>
        <w:t>r</w:t>
      </w:r>
      <w:r w:rsidR="003C43DD" w:rsidRPr="00485E38">
        <w:rPr>
          <w:rFonts w:ascii="Cambria" w:eastAsia="Times New Roman" w:hAnsi="Cambria" w:cs="Arial"/>
          <w:color w:val="000000"/>
        </w:rPr>
        <w:t>).</w:t>
      </w:r>
      <w:r w:rsidRPr="00485E38">
        <w:rPr>
          <w:rFonts w:ascii="Cambria" w:eastAsia="Times New Roman" w:hAnsi="Cambria" w:cs="Arial"/>
          <w:color w:val="000000"/>
        </w:rPr>
        <w:t xml:space="preserve">  The CRC will discuss the study with the family (English and Spanish scripts are attached in Appendix </w:t>
      </w:r>
      <w:r w:rsidR="00020C67">
        <w:rPr>
          <w:rFonts w:ascii="Cambria" w:eastAsia="Times New Roman" w:hAnsi="Cambria" w:cs="Arial"/>
          <w:color w:val="000000"/>
        </w:rPr>
        <w:t>f</w:t>
      </w:r>
      <w:r w:rsidRPr="00485E38">
        <w:rPr>
          <w:rFonts w:ascii="Cambria" w:eastAsia="Times New Roman" w:hAnsi="Cambria" w:cs="Arial"/>
          <w:color w:val="000000"/>
        </w:rPr>
        <w:t xml:space="preserve">) and will provide them with study brochures (English and Spanish versions) are attached in Appendix </w:t>
      </w:r>
      <w:r w:rsidR="00020C67">
        <w:rPr>
          <w:rFonts w:ascii="Cambria" w:eastAsia="Times New Roman" w:hAnsi="Cambria" w:cs="Arial"/>
          <w:color w:val="000000"/>
        </w:rPr>
        <w:t>e</w:t>
      </w:r>
      <w:r w:rsidR="00A512B8" w:rsidRPr="00485E38">
        <w:rPr>
          <w:rFonts w:ascii="Cambria" w:eastAsia="Times New Roman" w:hAnsi="Cambria" w:cs="Arial"/>
          <w:color w:val="000000"/>
        </w:rPr>
        <w:t>.</w:t>
      </w:r>
    </w:p>
    <w:p w14:paraId="25623EBD" w14:textId="0F8EB47A" w:rsidR="00A95DF0" w:rsidRPr="00020C67" w:rsidRDefault="00A95DF0" w:rsidP="00020C67">
      <w:pPr>
        <w:numPr>
          <w:ilvl w:val="0"/>
          <w:numId w:val="9"/>
        </w:numPr>
        <w:spacing w:before="120" w:after="0" w:line="240" w:lineRule="auto"/>
        <w:ind w:right="58"/>
        <w:jc w:val="both"/>
        <w:textAlignment w:val="baseline"/>
        <w:rPr>
          <w:rFonts w:ascii="Cambria" w:eastAsia="Times New Roman" w:hAnsi="Cambria" w:cs="Arial"/>
          <w:i/>
          <w:iCs/>
          <w:color w:val="000000"/>
        </w:rPr>
      </w:pPr>
      <w:r w:rsidRPr="009D7DDD">
        <w:rPr>
          <w:rFonts w:ascii="Cambria" w:eastAsia="Times New Roman" w:hAnsi="Cambria" w:cs="Arial"/>
          <w:i/>
          <w:iCs/>
          <w:color w:val="000000"/>
        </w:rPr>
        <w:t>During a phone call:</w:t>
      </w:r>
      <w:r w:rsidRPr="00381CE7">
        <w:rPr>
          <w:rFonts w:ascii="Cambria" w:eastAsia="Times New Roman" w:hAnsi="Cambria" w:cs="Arial"/>
          <w:color w:val="000000"/>
        </w:rPr>
        <w:t xml:space="preserve"> If no clinic visits are scheduled, the physician will contact the family by telephone or email to introduce the study, and ask the family if they are interested in being contacted by the study team. After the family agrees to have the CRC contact them, the CRC will call th</w:t>
      </w:r>
      <w:r w:rsidRPr="00485E38">
        <w:rPr>
          <w:rFonts w:ascii="Cambria" w:eastAsia="Times New Roman" w:hAnsi="Cambria" w:cs="Arial"/>
          <w:color w:val="000000"/>
        </w:rPr>
        <w:t xml:space="preserve">e family to discuss the study using the script (Appendix </w:t>
      </w:r>
      <w:r w:rsidR="00020C67">
        <w:rPr>
          <w:rFonts w:ascii="Cambria" w:eastAsia="Times New Roman" w:hAnsi="Cambria" w:cs="Arial"/>
          <w:color w:val="000000"/>
        </w:rPr>
        <w:t>g</w:t>
      </w:r>
      <w:r w:rsidRPr="00485E38">
        <w:rPr>
          <w:rFonts w:ascii="Cambria" w:eastAsia="Times New Roman" w:hAnsi="Cambria" w:cs="Arial"/>
          <w:color w:val="000000"/>
        </w:rPr>
        <w:t>), and will share the study brochure with them by mail or email.  The CRC will then call the family several days later to answer and questions and discuss next steps, and</w:t>
      </w:r>
    </w:p>
    <w:p w14:paraId="450DA9BC" w14:textId="02684116" w:rsidR="00A95DF0" w:rsidRPr="00020C67" w:rsidRDefault="00A95DF0" w:rsidP="00020C67">
      <w:pPr>
        <w:numPr>
          <w:ilvl w:val="0"/>
          <w:numId w:val="9"/>
        </w:numPr>
        <w:spacing w:before="120" w:after="0" w:line="240" w:lineRule="auto"/>
        <w:ind w:right="58"/>
        <w:jc w:val="both"/>
        <w:textAlignment w:val="baseline"/>
        <w:rPr>
          <w:rFonts w:ascii="Cambria" w:eastAsia="Times New Roman" w:hAnsi="Cambria" w:cs="Arial"/>
          <w:color w:val="000000"/>
        </w:rPr>
      </w:pPr>
      <w:r w:rsidRPr="009D7DDD">
        <w:rPr>
          <w:rFonts w:ascii="Cambria" w:eastAsia="Times New Roman" w:hAnsi="Cambria" w:cs="Arial"/>
          <w:i/>
          <w:iCs/>
          <w:color w:val="000000"/>
        </w:rPr>
        <w:t>During an inpatient admission:</w:t>
      </w:r>
      <w:r w:rsidRPr="00381CE7">
        <w:rPr>
          <w:rFonts w:ascii="Cambria" w:eastAsia="Times New Roman" w:hAnsi="Cambria" w:cs="Arial"/>
          <w:color w:val="000000"/>
        </w:rPr>
        <w:t xml:space="preserve"> Other participants may be identified through inpatient admission. In this case, the admitting service will notify the appropriate </w:t>
      </w:r>
      <w:r w:rsidRPr="00381047">
        <w:rPr>
          <w:rFonts w:ascii="Cambria" w:eastAsia="Times New Roman" w:hAnsi="Cambria" w:cs="Arial"/>
          <w:color w:val="000000"/>
        </w:rPr>
        <w:t>physician, who will then notify the CRC. Again, the CRC will use the script and brochure. </w:t>
      </w:r>
    </w:p>
    <w:p w14:paraId="3835594E" w14:textId="77777777" w:rsidR="00A95DF0" w:rsidRPr="00020C67" w:rsidRDefault="00A95DF0" w:rsidP="00020C67">
      <w:pPr>
        <w:spacing w:after="0" w:line="240" w:lineRule="auto"/>
        <w:jc w:val="both"/>
        <w:rPr>
          <w:rFonts w:ascii="Cambria" w:eastAsia="Times New Roman" w:hAnsi="Cambria" w:cs="Times New Roman"/>
        </w:rPr>
      </w:pPr>
    </w:p>
    <w:p w14:paraId="71AFCE2A" w14:textId="77777777" w:rsidR="00A95DF0" w:rsidRPr="00020C67" w:rsidRDefault="00A95DF0" w:rsidP="00020C67">
      <w:pPr>
        <w:spacing w:after="100" w:line="240" w:lineRule="auto"/>
        <w:jc w:val="both"/>
        <w:rPr>
          <w:rFonts w:ascii="Cambria" w:eastAsia="Times New Roman" w:hAnsi="Cambria" w:cs="Times New Roman"/>
        </w:rPr>
      </w:pPr>
      <w:r w:rsidRPr="009D7DDD">
        <w:rPr>
          <w:rFonts w:ascii="Cambria" w:eastAsia="Times New Roman" w:hAnsi="Cambria" w:cs="Times New Roman"/>
          <w:b/>
          <w:bCs/>
          <w:color w:val="000000"/>
        </w:rPr>
        <w:t>V.b. Recruitment and retention strategies</w:t>
      </w:r>
      <w:r w:rsidRPr="00381CE7">
        <w:rPr>
          <w:rFonts w:ascii="Cambria" w:eastAsia="Times New Roman" w:hAnsi="Cambria" w:cs="Times New Roman"/>
          <w:color w:val="000000"/>
        </w:rPr>
        <w:t> </w:t>
      </w:r>
    </w:p>
    <w:p w14:paraId="00851061" w14:textId="7495883C" w:rsidR="00A95DF0" w:rsidRPr="00020C67" w:rsidRDefault="00A95DF0" w:rsidP="00020C67">
      <w:pPr>
        <w:spacing w:before="120" w:after="0" w:line="240" w:lineRule="auto"/>
        <w:jc w:val="both"/>
        <w:rPr>
          <w:rFonts w:ascii="Cambria" w:eastAsia="Times New Roman" w:hAnsi="Cambria" w:cs="Times New Roman"/>
        </w:rPr>
      </w:pPr>
      <w:r w:rsidRPr="009D7DDD">
        <w:rPr>
          <w:rFonts w:ascii="Cambria" w:eastAsia="Times New Roman" w:hAnsi="Cambria" w:cs="Times New Roman"/>
          <w:color w:val="000000"/>
        </w:rPr>
        <w:t>We have assembled an outstanding team of seasoned clinicians, respected medical center and school leaders, and NIH-funded researchers with outstanding records f</w:t>
      </w:r>
      <w:r w:rsidRPr="00381CE7">
        <w:rPr>
          <w:rFonts w:ascii="Cambria" w:eastAsia="Times New Roman" w:hAnsi="Cambria" w:cs="Times New Roman"/>
          <w:color w:val="000000"/>
        </w:rPr>
        <w:t xml:space="preserve">or recruiting children and families in their respective specialties into clinical </w:t>
      </w:r>
      <w:r w:rsidR="00A512B8" w:rsidRPr="00381047">
        <w:rPr>
          <w:rFonts w:ascii="Cambria" w:eastAsia="Times New Roman" w:hAnsi="Cambria" w:cs="Times New Roman"/>
          <w:color w:val="000000"/>
        </w:rPr>
        <w:t>research</w:t>
      </w:r>
      <w:r w:rsidRPr="00381047">
        <w:rPr>
          <w:rFonts w:ascii="Cambria" w:eastAsia="Times New Roman" w:hAnsi="Cambria" w:cs="Times New Roman"/>
          <w:color w:val="000000"/>
        </w:rPr>
        <w:t>. The Genomics Stakeholder Board, situated at Mount Sinai, has been working with our team to devise sensitive, effective strategies for recruiting and retaining study subjects. The Board has reviewed and provided feedback about our infor</w:t>
      </w:r>
      <w:r w:rsidRPr="00485E38">
        <w:rPr>
          <w:rFonts w:ascii="Cambria" w:eastAsia="Times New Roman" w:hAnsi="Cambria" w:cs="Times New Roman"/>
          <w:color w:val="000000"/>
        </w:rPr>
        <w:t>med consents, study brochures, and recruitment scripts.</w:t>
      </w:r>
    </w:p>
    <w:p w14:paraId="0BD21B1B" w14:textId="77777777" w:rsidR="00A95DF0" w:rsidRPr="00020C67" w:rsidRDefault="00A95DF0" w:rsidP="00020C67">
      <w:pPr>
        <w:spacing w:after="0" w:line="240" w:lineRule="auto"/>
        <w:jc w:val="both"/>
        <w:rPr>
          <w:rFonts w:ascii="Cambria" w:eastAsia="Times New Roman" w:hAnsi="Cambria" w:cs="Times New Roman"/>
        </w:rPr>
      </w:pPr>
    </w:p>
    <w:p w14:paraId="16668153" w14:textId="27985C30"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Carefully trained, bilingual, dedicated site-specific </w:t>
      </w:r>
      <w:r w:rsidR="00381047">
        <w:rPr>
          <w:rFonts w:ascii="Cambria" w:eastAsia="Times New Roman" w:hAnsi="Cambria" w:cs="Times New Roman"/>
          <w:color w:val="000000"/>
        </w:rPr>
        <w:t>CRC</w:t>
      </w:r>
      <w:r w:rsidRPr="009D7DDD">
        <w:rPr>
          <w:rFonts w:ascii="Cambria" w:eastAsia="Times New Roman" w:hAnsi="Cambria" w:cs="Times New Roman"/>
          <w:color w:val="000000"/>
        </w:rPr>
        <w:t>s that are from the same demographic groups and neighbor</w:t>
      </w:r>
      <w:r w:rsidRPr="00381CE7">
        <w:rPr>
          <w:rFonts w:ascii="Cambria" w:eastAsia="Times New Roman" w:hAnsi="Cambria" w:cs="Times New Roman"/>
          <w:color w:val="000000"/>
        </w:rPr>
        <w:t xml:space="preserve">hoods as participants will work with the pediatric subspecialists to </w:t>
      </w:r>
      <w:r w:rsidRPr="00381047">
        <w:rPr>
          <w:rFonts w:ascii="Cambria" w:eastAsia="Times New Roman" w:hAnsi="Cambria" w:cs="Times New Roman"/>
          <w:color w:val="000000"/>
        </w:rPr>
        <w:t>recruit patients, and will facilitate retention using relationship building, continuity with specific participants, sending personalized birthday and holiday cards, calling between study visits to check in and having multiple contacts and modes of contact (e.g., phone, mail, text, email, intercepting at upcoming clinical appointments).</w:t>
      </w:r>
    </w:p>
    <w:p w14:paraId="757C1A10" w14:textId="77777777" w:rsidR="00A95DF0" w:rsidRPr="00020C67" w:rsidRDefault="00A95DF0" w:rsidP="00020C67">
      <w:pPr>
        <w:spacing w:after="0" w:line="240" w:lineRule="auto"/>
        <w:jc w:val="both"/>
        <w:rPr>
          <w:rFonts w:ascii="Cambria" w:eastAsia="Times New Roman" w:hAnsi="Cambria" w:cs="Times New Roman"/>
        </w:rPr>
      </w:pPr>
    </w:p>
    <w:p w14:paraId="3500D641" w14:textId="77777777" w:rsidR="00A95DF0" w:rsidRPr="009D7DDD" w:rsidRDefault="00A95DF0" w:rsidP="00020C67">
      <w:pPr>
        <w:numPr>
          <w:ilvl w:val="0"/>
          <w:numId w:val="10"/>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Informed Consent</w:t>
      </w:r>
    </w:p>
    <w:p w14:paraId="7C285633"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VI.a. Overview of Informed Consent Versions and Processes</w:t>
      </w:r>
    </w:p>
    <w:p w14:paraId="327FD385"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i/>
          <w:iCs/>
          <w:color w:val="000000"/>
          <w:u w:val="single"/>
        </w:rPr>
        <w:t>Informed Consent: Baseline Su</w:t>
      </w:r>
      <w:r w:rsidRPr="00381CE7">
        <w:rPr>
          <w:rFonts w:ascii="Cambria" w:eastAsia="Times New Roman" w:hAnsi="Cambria" w:cs="Times New Roman"/>
          <w:i/>
          <w:iCs/>
          <w:color w:val="000000"/>
          <w:u w:val="single"/>
        </w:rPr>
        <w:t>rvey</w:t>
      </w:r>
      <w:r w:rsidRPr="00381CE7">
        <w:rPr>
          <w:rFonts w:ascii="Cambria" w:eastAsia="Times New Roman" w:hAnsi="Cambria" w:cs="Times New Roman"/>
          <w:color w:val="000000"/>
          <w:u w:val="single"/>
        </w:rPr>
        <w:t> </w:t>
      </w:r>
    </w:p>
    <w:p w14:paraId="6CE26BDB"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lastRenderedPageBreak/>
        <w:t>The baseline survey consent will be reviewed with all parents/legal guardians of potential participants.</w:t>
      </w:r>
      <w:r w:rsidRPr="00381CE7">
        <w:rPr>
          <w:rFonts w:ascii="Cambria" w:eastAsia="Times New Roman" w:hAnsi="Cambria" w:cs="Times New Roman"/>
          <w:i/>
          <w:iCs/>
          <w:color w:val="7030A0"/>
        </w:rPr>
        <w:t xml:space="preserve"> </w:t>
      </w:r>
      <w:r w:rsidRPr="00381CE7">
        <w:rPr>
          <w:rFonts w:ascii="Cambria" w:eastAsia="Times New Roman" w:hAnsi="Cambria" w:cs="Times New Roman"/>
          <w:color w:val="000000"/>
        </w:rPr>
        <w:t> </w:t>
      </w:r>
    </w:p>
    <w:p w14:paraId="4550A8E5" w14:textId="77777777" w:rsidR="00A95DF0" w:rsidRPr="00020C67" w:rsidRDefault="00A95DF0" w:rsidP="00020C67">
      <w:pPr>
        <w:spacing w:after="0" w:line="240" w:lineRule="auto"/>
        <w:jc w:val="both"/>
        <w:rPr>
          <w:rFonts w:ascii="Cambria" w:eastAsia="Times New Roman" w:hAnsi="Cambria" w:cs="Times New Roman"/>
        </w:rPr>
      </w:pPr>
    </w:p>
    <w:p w14:paraId="426C283E"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Our research focus of the surveys is only on parental responses, and as the surveys are appropriate for parents of individuals up to 21 years </w:t>
      </w:r>
      <w:r w:rsidRPr="00381CE7">
        <w:rPr>
          <w:rFonts w:ascii="Cambria" w:eastAsia="Times New Roman" w:hAnsi="Cambria" w:cs="Times New Roman"/>
          <w:color w:val="000000"/>
        </w:rPr>
        <w:t>of age, we will only consent parents (i.e., there is no need to consent young adults (18-21) for this part). </w:t>
      </w:r>
    </w:p>
    <w:p w14:paraId="4A509E33" w14:textId="77777777" w:rsidR="00A95DF0" w:rsidRPr="00020C67" w:rsidRDefault="00A95DF0" w:rsidP="00020C67">
      <w:pPr>
        <w:spacing w:after="0" w:line="240" w:lineRule="auto"/>
        <w:jc w:val="both"/>
        <w:rPr>
          <w:rFonts w:ascii="Cambria" w:eastAsia="Times New Roman" w:hAnsi="Cambria" w:cs="Times New Roman"/>
        </w:rPr>
      </w:pPr>
    </w:p>
    <w:p w14:paraId="11D1F5E7"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Versions of</w:t>
      </w:r>
      <w:r w:rsidRPr="00381CE7">
        <w:rPr>
          <w:rFonts w:ascii="Cambria" w:eastAsia="Times New Roman" w:hAnsi="Cambria" w:cs="Times New Roman"/>
          <w:i/>
          <w:iCs/>
          <w:color w:val="000000"/>
        </w:rPr>
        <w:t xml:space="preserve"> Informed Consent: Baseline Survey</w:t>
      </w:r>
      <w:r w:rsidRPr="00381CE7">
        <w:rPr>
          <w:rFonts w:ascii="Cambria" w:eastAsia="Times New Roman" w:hAnsi="Cambria" w:cs="Times New Roman"/>
          <w:color w:val="000000"/>
        </w:rPr>
        <w:t> </w:t>
      </w:r>
    </w:p>
    <w:p w14:paraId="4DB90B18" w14:textId="77777777" w:rsidR="00A95DF0" w:rsidRPr="00020C67" w:rsidRDefault="00A95DF0" w:rsidP="00020C67">
      <w:pPr>
        <w:spacing w:after="0" w:line="240" w:lineRule="auto"/>
        <w:jc w:val="both"/>
        <w:rPr>
          <w:rFonts w:ascii="Cambria" w:eastAsia="Times New Roman" w:hAnsi="Cambria" w:cs="Times New Roman"/>
        </w:rPr>
      </w:pPr>
    </w:p>
    <w:p w14:paraId="4EEB70E2" w14:textId="1F37CB5E"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i/>
          <w:iCs/>
          <w:color w:val="000000"/>
        </w:rPr>
        <w:t>Pilot (</w:t>
      </w:r>
      <w:r w:rsidR="00A512B8" w:rsidRPr="00381CE7">
        <w:rPr>
          <w:rFonts w:ascii="Cambria" w:eastAsia="Times New Roman" w:hAnsi="Cambria" w:cs="Times New Roman"/>
          <w:i/>
          <w:iCs/>
          <w:color w:val="000000"/>
        </w:rPr>
        <w:t>n</w:t>
      </w:r>
      <w:r w:rsidRPr="00381047">
        <w:rPr>
          <w:rFonts w:ascii="Cambria" w:eastAsia="Times New Roman" w:hAnsi="Cambria" w:cs="Times New Roman"/>
          <w:i/>
          <w:iCs/>
          <w:color w:val="000000"/>
        </w:rPr>
        <w:t>=</w:t>
      </w:r>
      <w:r w:rsidR="00A512B8" w:rsidRPr="00381047">
        <w:rPr>
          <w:rFonts w:ascii="Cambria" w:eastAsia="Times New Roman" w:hAnsi="Cambria" w:cs="Times New Roman"/>
          <w:i/>
          <w:iCs/>
          <w:color w:val="000000"/>
        </w:rPr>
        <w:t>496</w:t>
      </w:r>
      <w:r w:rsidRPr="00381047">
        <w:rPr>
          <w:rFonts w:ascii="Cambria" w:eastAsia="Times New Roman" w:hAnsi="Cambria" w:cs="Times New Roman"/>
          <w:i/>
          <w:iCs/>
          <w:color w:val="000000"/>
        </w:rPr>
        <w:t>):</w:t>
      </w:r>
    </w:p>
    <w:p w14:paraId="39566DC9" w14:textId="5BE2E580" w:rsidR="00A95DF0" w:rsidRPr="00020C67" w:rsidRDefault="00A95DF0" w:rsidP="00020C67">
      <w:pPr>
        <w:numPr>
          <w:ilvl w:val="0"/>
          <w:numId w:val="12"/>
        </w:numPr>
        <w:spacing w:after="0" w:line="240" w:lineRule="auto"/>
        <w:ind w:left="900"/>
        <w:jc w:val="both"/>
        <w:textAlignment w:val="baseline"/>
        <w:rPr>
          <w:rFonts w:ascii="Cambria" w:eastAsia="Times New Roman" w:hAnsi="Cambria" w:cs="Courier New"/>
          <w:color w:val="000000"/>
        </w:rPr>
      </w:pPr>
      <w:r w:rsidRPr="009D7DDD">
        <w:rPr>
          <w:rFonts w:ascii="Cambria" w:eastAsia="Times New Roman" w:hAnsi="Cambria" w:cs="Courier New"/>
          <w:color w:val="000000"/>
        </w:rPr>
        <w:t>Parents/</w:t>
      </w:r>
      <w:r w:rsidR="00995E0A" w:rsidRPr="00381CE7">
        <w:rPr>
          <w:rFonts w:ascii="Cambria" w:eastAsia="Times New Roman" w:hAnsi="Cambria" w:cs="Courier New"/>
          <w:color w:val="000000"/>
        </w:rPr>
        <w:t>l</w:t>
      </w:r>
      <w:r w:rsidRPr="00381CE7">
        <w:rPr>
          <w:rFonts w:ascii="Cambria" w:eastAsia="Times New Roman" w:hAnsi="Cambria" w:cs="Courier New"/>
          <w:color w:val="000000"/>
        </w:rPr>
        <w:t xml:space="preserve">egal </w:t>
      </w:r>
      <w:r w:rsidR="00995E0A" w:rsidRPr="00381047">
        <w:rPr>
          <w:rFonts w:ascii="Cambria" w:eastAsia="Times New Roman" w:hAnsi="Cambria" w:cs="Courier New"/>
          <w:color w:val="000000"/>
        </w:rPr>
        <w:t>g</w:t>
      </w:r>
      <w:r w:rsidRPr="00381047">
        <w:rPr>
          <w:rFonts w:ascii="Cambria" w:eastAsia="Times New Roman" w:hAnsi="Cambria" w:cs="Courier New"/>
          <w:color w:val="000000"/>
        </w:rPr>
        <w:t>uardians of all study participants</w:t>
      </w:r>
    </w:p>
    <w:p w14:paraId="43BE9023" w14:textId="77777777" w:rsidR="00A95DF0" w:rsidRPr="00020C67" w:rsidRDefault="00A95DF0" w:rsidP="00020C67">
      <w:pPr>
        <w:spacing w:after="0" w:line="240" w:lineRule="auto"/>
        <w:jc w:val="both"/>
        <w:rPr>
          <w:rFonts w:ascii="Cambria" w:eastAsia="Times New Roman" w:hAnsi="Cambria" w:cs="Times New Roman"/>
        </w:rPr>
      </w:pPr>
    </w:p>
    <w:p w14:paraId="00AC5993"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i/>
          <w:iCs/>
          <w:color w:val="000000"/>
          <w:u w:val="single"/>
        </w:rPr>
        <w:t>Informed Consent: Main Study</w:t>
      </w:r>
      <w:r w:rsidRPr="00381CE7">
        <w:rPr>
          <w:rFonts w:ascii="Cambria" w:eastAsia="Times New Roman" w:hAnsi="Cambria" w:cs="Times New Roman"/>
          <w:i/>
          <w:iCs/>
          <w:color w:val="000000"/>
        </w:rPr>
        <w:t> </w:t>
      </w:r>
    </w:p>
    <w:p w14:paraId="6EF4FB1F" w14:textId="79FF2931"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w:t>
      </w:r>
      <w:r w:rsidRPr="00381CE7">
        <w:rPr>
          <w:rFonts w:ascii="Cambria" w:eastAsia="Times New Roman" w:hAnsi="Cambria" w:cs="Times New Roman"/>
          <w:color w:val="000000"/>
        </w:rPr>
        <w:t xml:space="preserve">he main study consent will be obtained at the Baseline visit by our </w:t>
      </w:r>
      <w:r w:rsidRPr="00381047">
        <w:rPr>
          <w:rFonts w:ascii="Cambria" w:eastAsia="Times New Roman" w:hAnsi="Cambria" w:cs="Times New Roman"/>
          <w:color w:val="000000"/>
        </w:rPr>
        <w:t xml:space="preserve">study </w:t>
      </w:r>
      <w:r w:rsidR="00A512B8" w:rsidRPr="00381047">
        <w:rPr>
          <w:rFonts w:ascii="Cambria" w:eastAsia="Times New Roman" w:hAnsi="Cambria" w:cs="Times New Roman"/>
          <w:color w:val="000000"/>
        </w:rPr>
        <w:t>GCs</w:t>
      </w:r>
      <w:r w:rsidRPr="00381047">
        <w:rPr>
          <w:rFonts w:ascii="Cambria" w:eastAsia="Times New Roman" w:hAnsi="Cambria" w:cs="Times New Roman"/>
          <w:color w:val="000000"/>
        </w:rPr>
        <w:t xml:space="preserve"> and will include assent from capable minors.  The informed consent process will include extensive pre-test education, including descriptions of the research study, the risks and benefits of WGS, and will offer parental choice about ACMG secondary findings, consistent with current ACMG </w:t>
      </w:r>
      <w:r w:rsidR="00CE3E64" w:rsidRPr="00485E38">
        <w:rPr>
          <w:rFonts w:ascii="Cambria" w:eastAsia="Times New Roman" w:hAnsi="Cambria" w:cs="Times New Roman"/>
          <w:color w:val="000000"/>
        </w:rPr>
        <w:t>recommendations.</w:t>
      </w:r>
      <w:r w:rsidRPr="00485E38">
        <w:rPr>
          <w:rFonts w:ascii="Cambria" w:eastAsia="Times New Roman" w:hAnsi="Cambria" w:cs="Times New Roman"/>
          <w:color w:val="000000"/>
        </w:rPr>
        <w:t xml:space="preserve"> </w:t>
      </w:r>
      <w:r w:rsidR="00995E0A" w:rsidRPr="00485E38">
        <w:rPr>
          <w:rFonts w:ascii="Cambria" w:eastAsia="Times New Roman" w:hAnsi="Cambria" w:cs="Times New Roman"/>
          <w:color w:val="000000"/>
        </w:rPr>
        <w:t>W</w:t>
      </w:r>
      <w:r w:rsidRPr="00485E38">
        <w:rPr>
          <w:rFonts w:ascii="Cambria" w:eastAsia="Times New Roman" w:hAnsi="Cambria" w:cs="Times New Roman"/>
          <w:color w:val="000000"/>
        </w:rPr>
        <w:t>e have worked closely with the clinical testing laborator</w:t>
      </w:r>
      <w:r w:rsidR="00CE3E64" w:rsidRPr="00485E38">
        <w:rPr>
          <w:rFonts w:ascii="Cambria" w:eastAsia="Times New Roman" w:hAnsi="Cambria" w:cs="Times New Roman"/>
          <w:color w:val="000000"/>
        </w:rPr>
        <w:t>y</w:t>
      </w:r>
      <w:r w:rsidRPr="00485E38">
        <w:rPr>
          <w:rFonts w:ascii="Cambria" w:eastAsia="Times New Roman" w:hAnsi="Cambria" w:cs="Times New Roman"/>
          <w:color w:val="000000"/>
        </w:rPr>
        <w:t xml:space="preserve"> (NYGC</w:t>
      </w:r>
      <w:r w:rsidR="00CE3E64"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 xml:space="preserve">to incorporate the appropriate CLIA- and NYS-approved language for genomic testing. We have ensured that our informed consent documents and include the Core Elements suggested by Jamal </w:t>
      </w:r>
      <w:r w:rsidRPr="00485E38">
        <w:rPr>
          <w:rFonts w:ascii="Cambria" w:eastAsia="Times New Roman" w:hAnsi="Cambria" w:cs="Times New Roman"/>
          <w:i/>
          <w:iCs/>
          <w:color w:val="000000"/>
        </w:rPr>
        <w:t>et al</w:t>
      </w:r>
      <w:r w:rsidRPr="00485E38">
        <w:rPr>
          <w:rFonts w:ascii="Cambria" w:eastAsia="Times New Roman" w:hAnsi="Cambria" w:cs="Times New Roman"/>
          <w:color w:val="000000"/>
        </w:rPr>
        <w:t xml:space="preserve">. </w:t>
      </w:r>
      <w:r w:rsidR="00995E0A" w:rsidRPr="00485E38">
        <w:rPr>
          <w:rFonts w:ascii="Cambria" w:eastAsia="Times New Roman" w:hAnsi="Cambria" w:cs="Times New Roman"/>
          <w:color w:val="000000"/>
        </w:rPr>
        <w:t>I</w:t>
      </w:r>
      <w:r w:rsidRPr="00485E38">
        <w:rPr>
          <w:rFonts w:ascii="Cambria" w:eastAsia="Times New Roman" w:hAnsi="Cambria" w:cs="Times New Roman"/>
          <w:color w:val="000000"/>
        </w:rPr>
        <w:t xml:space="preserve">n addition, we have worked closely with the Genomics Stakeholder Board, study bioethicists and </w:t>
      </w:r>
      <w:r w:rsidR="00381047">
        <w:rPr>
          <w:rFonts w:ascii="Cambria" w:eastAsia="Times New Roman" w:hAnsi="Cambria" w:cs="Times New Roman"/>
          <w:color w:val="000000"/>
        </w:rPr>
        <w:t>GCs</w:t>
      </w:r>
      <w:r w:rsidRPr="00381047">
        <w:rPr>
          <w:rFonts w:ascii="Cambria" w:eastAsia="Times New Roman" w:hAnsi="Cambria" w:cs="Times New Roman"/>
          <w:color w:val="000000"/>
        </w:rPr>
        <w:t xml:space="preserve"> to ensure that the consent is understandable by our population and at the appropriate literacy level.</w:t>
      </w:r>
    </w:p>
    <w:p w14:paraId="4752C03C"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    </w:t>
      </w:r>
    </w:p>
    <w:p w14:paraId="4CA5996F"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Versions of </w:t>
      </w:r>
      <w:r w:rsidRPr="00381CE7">
        <w:rPr>
          <w:rFonts w:ascii="Cambria" w:eastAsia="Times New Roman" w:hAnsi="Cambria" w:cs="Times New Roman"/>
          <w:i/>
          <w:iCs/>
          <w:color w:val="000000"/>
        </w:rPr>
        <w:t>Informed Consent: Main study </w:t>
      </w:r>
    </w:p>
    <w:p w14:paraId="6D02E03A" w14:textId="77777777" w:rsidR="00A95DF0" w:rsidRPr="00020C67" w:rsidRDefault="00A95DF0" w:rsidP="00020C67">
      <w:pPr>
        <w:spacing w:after="0" w:line="240" w:lineRule="auto"/>
        <w:jc w:val="both"/>
        <w:rPr>
          <w:rFonts w:ascii="Cambria" w:eastAsia="Times New Roman" w:hAnsi="Cambria" w:cs="Times New Roman"/>
        </w:rPr>
      </w:pPr>
    </w:p>
    <w:p w14:paraId="22610EA7" w14:textId="38455F4D"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i/>
          <w:iCs/>
          <w:color w:val="000000"/>
        </w:rPr>
        <w:t>Pilot (</w:t>
      </w:r>
      <w:r w:rsidR="00A512B8" w:rsidRPr="00381CE7">
        <w:rPr>
          <w:rFonts w:ascii="Cambria" w:eastAsia="Times New Roman" w:hAnsi="Cambria" w:cs="Times New Roman"/>
          <w:i/>
          <w:iCs/>
          <w:color w:val="000000"/>
        </w:rPr>
        <w:t>n</w:t>
      </w:r>
      <w:r w:rsidRPr="00381047">
        <w:rPr>
          <w:rFonts w:ascii="Cambria" w:eastAsia="Times New Roman" w:hAnsi="Cambria" w:cs="Times New Roman"/>
          <w:i/>
          <w:iCs/>
          <w:color w:val="000000"/>
        </w:rPr>
        <w:t>=</w:t>
      </w:r>
      <w:r w:rsidR="00A512B8" w:rsidRPr="00381047">
        <w:rPr>
          <w:rFonts w:ascii="Cambria" w:eastAsia="Times New Roman" w:hAnsi="Cambria" w:cs="Times New Roman"/>
          <w:i/>
          <w:iCs/>
          <w:color w:val="000000"/>
        </w:rPr>
        <w:t>496</w:t>
      </w:r>
      <w:r w:rsidR="00E14E96" w:rsidRPr="00381047">
        <w:rPr>
          <w:rFonts w:ascii="Cambria" w:eastAsia="Times New Roman" w:hAnsi="Cambria" w:cs="Times New Roman"/>
          <w:i/>
          <w:iCs/>
          <w:color w:val="000000"/>
        </w:rPr>
        <w:t>)</w:t>
      </w:r>
      <w:r w:rsidRPr="00381047">
        <w:rPr>
          <w:rFonts w:ascii="Cambria" w:eastAsia="Times New Roman" w:hAnsi="Cambria" w:cs="Times New Roman"/>
          <w:i/>
          <w:iCs/>
          <w:color w:val="000000"/>
        </w:rPr>
        <w:t>:</w:t>
      </w:r>
    </w:p>
    <w:p w14:paraId="1A49E130" w14:textId="04FC1F9E" w:rsidR="00995E0A" w:rsidRPr="00020C67" w:rsidRDefault="00A95DF0" w:rsidP="00020C67">
      <w:pPr>
        <w:numPr>
          <w:ilvl w:val="1"/>
          <w:numId w:val="14"/>
        </w:numPr>
        <w:spacing w:after="0" w:line="240" w:lineRule="auto"/>
        <w:ind w:left="900"/>
        <w:jc w:val="both"/>
        <w:textAlignment w:val="baseline"/>
        <w:rPr>
          <w:rFonts w:ascii="Cambria" w:eastAsia="Times New Roman" w:hAnsi="Cambria" w:cs="Courier New"/>
          <w:color w:val="000000"/>
        </w:rPr>
      </w:pPr>
      <w:r w:rsidRPr="009D7DDD">
        <w:rPr>
          <w:rFonts w:ascii="Cambria" w:eastAsia="Times New Roman" w:hAnsi="Cambria" w:cs="Courier New"/>
          <w:color w:val="000000"/>
        </w:rPr>
        <w:t xml:space="preserve">Parents of children 0-17 years old – </w:t>
      </w:r>
      <w:r w:rsidR="00E35907" w:rsidRPr="00381CE7">
        <w:rPr>
          <w:rFonts w:ascii="Cambria" w:eastAsia="Times New Roman" w:hAnsi="Cambria" w:cs="Courier New"/>
          <w:i/>
          <w:iCs/>
          <w:color w:val="000000"/>
        </w:rPr>
        <w:t>Pilot</w:t>
      </w:r>
      <w:r w:rsidRPr="00381CE7">
        <w:rPr>
          <w:rFonts w:ascii="Cambria" w:eastAsia="Times New Roman" w:hAnsi="Cambria" w:cs="Courier New"/>
          <w:i/>
          <w:iCs/>
          <w:color w:val="000000"/>
        </w:rPr>
        <w:t xml:space="preserve"> main study</w:t>
      </w:r>
    </w:p>
    <w:p w14:paraId="3E63AD84" w14:textId="5755A06D" w:rsidR="00995E0A" w:rsidRPr="00020C67" w:rsidRDefault="00A95DF0" w:rsidP="00020C67">
      <w:pPr>
        <w:spacing w:after="0" w:line="240" w:lineRule="auto"/>
        <w:ind w:left="900"/>
        <w:jc w:val="both"/>
        <w:textAlignment w:val="baseline"/>
        <w:rPr>
          <w:rFonts w:ascii="Cambria" w:eastAsia="Times New Roman" w:hAnsi="Cambria" w:cs="Courier New"/>
          <w:i/>
          <w:iCs/>
          <w:color w:val="000000"/>
        </w:rPr>
      </w:pPr>
      <w:r w:rsidRPr="009D7DDD">
        <w:rPr>
          <w:rFonts w:ascii="Cambria" w:eastAsia="Times New Roman" w:hAnsi="Cambria" w:cs="Courier New"/>
          <w:color w:val="000000"/>
        </w:rPr>
        <w:t>Parents adult chi</w:t>
      </w:r>
      <w:r w:rsidRPr="00381CE7">
        <w:rPr>
          <w:rFonts w:ascii="Cambria" w:eastAsia="Times New Roman" w:hAnsi="Cambria" w:cs="Courier New"/>
          <w:color w:val="000000"/>
        </w:rPr>
        <w:t xml:space="preserve">ldren (18-21) with diminished capacity – </w:t>
      </w:r>
      <w:r w:rsidR="00E35907" w:rsidRPr="00381CE7">
        <w:rPr>
          <w:rFonts w:ascii="Cambria" w:eastAsia="Times New Roman" w:hAnsi="Cambria" w:cs="Courier New"/>
          <w:i/>
          <w:iCs/>
          <w:color w:val="000000"/>
        </w:rPr>
        <w:t xml:space="preserve">Pilot </w:t>
      </w:r>
      <w:r w:rsidRPr="00381047">
        <w:rPr>
          <w:rFonts w:ascii="Cambria" w:eastAsia="Times New Roman" w:hAnsi="Cambria" w:cs="Courier New"/>
          <w:i/>
          <w:iCs/>
          <w:color w:val="000000"/>
        </w:rPr>
        <w:t>main study </w:t>
      </w:r>
    </w:p>
    <w:p w14:paraId="68D44ADF" w14:textId="77777777" w:rsidR="00A95DF0" w:rsidRPr="00020C67" w:rsidRDefault="00A95DF0" w:rsidP="00020C67">
      <w:pPr>
        <w:numPr>
          <w:ilvl w:val="1"/>
          <w:numId w:val="14"/>
        </w:numPr>
        <w:spacing w:after="0" w:line="240" w:lineRule="auto"/>
        <w:ind w:left="900"/>
        <w:jc w:val="both"/>
        <w:textAlignment w:val="baseline"/>
        <w:rPr>
          <w:rFonts w:ascii="Cambria" w:eastAsia="Times New Roman" w:hAnsi="Cambria" w:cs="Courier New"/>
          <w:color w:val="000000"/>
        </w:rPr>
      </w:pPr>
      <w:r w:rsidRPr="009D7DDD">
        <w:rPr>
          <w:rFonts w:ascii="Cambria" w:eastAsia="Times New Roman" w:hAnsi="Cambria" w:cs="Courier New"/>
          <w:color w:val="000000"/>
        </w:rPr>
        <w:t xml:space="preserve">Adults (cognitively intact 18-21) – </w:t>
      </w:r>
      <w:r w:rsidRPr="00381CE7">
        <w:rPr>
          <w:rFonts w:ascii="Cambria" w:eastAsia="Times New Roman" w:hAnsi="Cambria" w:cs="Courier New"/>
          <w:i/>
          <w:iCs/>
          <w:color w:val="000000"/>
        </w:rPr>
        <w:t>Genomic testing, no surveys</w:t>
      </w:r>
    </w:p>
    <w:p w14:paraId="7A680E5E" w14:textId="0AF86000" w:rsidR="00995E0A" w:rsidRPr="00020C67" w:rsidRDefault="00A95DF0" w:rsidP="00020C67">
      <w:pPr>
        <w:numPr>
          <w:ilvl w:val="1"/>
          <w:numId w:val="15"/>
        </w:numPr>
        <w:spacing w:after="0" w:line="240" w:lineRule="auto"/>
        <w:ind w:left="900"/>
        <w:jc w:val="both"/>
        <w:textAlignment w:val="baseline"/>
        <w:rPr>
          <w:rFonts w:ascii="Cambria" w:eastAsia="Times New Roman" w:hAnsi="Cambria" w:cs="Courier New"/>
          <w:i/>
          <w:iCs/>
          <w:color w:val="000000"/>
        </w:rPr>
      </w:pPr>
      <w:r w:rsidRPr="009D7DDD">
        <w:rPr>
          <w:rFonts w:ascii="Cambria" w:eastAsia="Times New Roman" w:hAnsi="Cambria" w:cs="Courier New"/>
          <w:color w:val="000000"/>
        </w:rPr>
        <w:t>Parent of adult cognitively intact children (18-21)</w:t>
      </w:r>
      <w:r w:rsidRPr="00381CE7">
        <w:rPr>
          <w:rFonts w:ascii="Cambria" w:eastAsia="Times New Roman" w:hAnsi="Cambria" w:cs="Courier New"/>
          <w:i/>
          <w:iCs/>
          <w:color w:val="000000"/>
        </w:rPr>
        <w:t xml:space="preserve"> - Parental ROR1 and ROR2 surveys, and parental blood draw</w:t>
      </w:r>
    </w:p>
    <w:p w14:paraId="193A7133" w14:textId="60DC6383" w:rsidR="00A95DF0" w:rsidRPr="00020C67" w:rsidRDefault="00A95DF0" w:rsidP="00020C67">
      <w:pPr>
        <w:numPr>
          <w:ilvl w:val="1"/>
          <w:numId w:val="15"/>
        </w:numPr>
        <w:spacing w:after="0" w:line="240" w:lineRule="auto"/>
        <w:ind w:left="900"/>
        <w:jc w:val="both"/>
        <w:textAlignment w:val="baseline"/>
        <w:rPr>
          <w:rFonts w:ascii="Cambria" w:eastAsia="Times New Roman" w:hAnsi="Cambria" w:cs="Courier New"/>
          <w:i/>
          <w:iCs/>
          <w:color w:val="000000"/>
        </w:rPr>
      </w:pPr>
      <w:r w:rsidRPr="009D7DDD">
        <w:rPr>
          <w:rFonts w:ascii="Cambria" w:eastAsia="Times New Roman" w:hAnsi="Cambria" w:cs="Courier New"/>
          <w:color w:val="000000"/>
        </w:rPr>
        <w:t xml:space="preserve">Assent – </w:t>
      </w:r>
      <w:r w:rsidR="00E35907" w:rsidRPr="00381CE7">
        <w:rPr>
          <w:rFonts w:ascii="Cambria" w:eastAsia="Times New Roman" w:hAnsi="Cambria" w:cs="Courier New"/>
          <w:i/>
          <w:iCs/>
          <w:color w:val="000000"/>
        </w:rPr>
        <w:t>Pilot</w:t>
      </w:r>
      <w:r w:rsidRPr="00381CE7">
        <w:rPr>
          <w:rFonts w:ascii="Cambria" w:eastAsia="Times New Roman" w:hAnsi="Cambria" w:cs="Courier New"/>
          <w:i/>
          <w:iCs/>
          <w:color w:val="000000"/>
        </w:rPr>
        <w:t xml:space="preserve"> main study </w:t>
      </w:r>
    </w:p>
    <w:p w14:paraId="721560F4" w14:textId="77777777" w:rsidR="00A95DF0" w:rsidRPr="00020C67" w:rsidRDefault="00A95DF0" w:rsidP="00020C67">
      <w:pPr>
        <w:spacing w:after="0" w:line="240" w:lineRule="auto"/>
        <w:jc w:val="both"/>
        <w:rPr>
          <w:rFonts w:ascii="Cambria" w:eastAsia="Times New Roman" w:hAnsi="Cambria" w:cs="Times New Roman"/>
        </w:rPr>
      </w:pPr>
    </w:p>
    <w:p w14:paraId="39357005"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When parents choose to receive their child’s secondary findings, the parents will be able to decide if they would like to receive their own secondary finding results. This option will be given to the parents of cognitively intact young adults as well.</w:t>
      </w:r>
      <w:r w:rsidRPr="00381CE7">
        <w:rPr>
          <w:rFonts w:ascii="Cambria" w:eastAsia="Times New Roman" w:hAnsi="Cambria" w:cs="Times New Roman"/>
          <w:color w:val="000000"/>
        </w:rPr>
        <w:t xml:space="preserve">  As such, parents will be asked to sign a clinical laboratory consent form regarding their preference for release of secondary findings for themselves.</w:t>
      </w:r>
    </w:p>
    <w:p w14:paraId="52174190" w14:textId="77777777" w:rsidR="00A95DF0" w:rsidRPr="00020C67" w:rsidRDefault="00A95DF0" w:rsidP="00020C67">
      <w:pPr>
        <w:spacing w:after="0" w:line="240" w:lineRule="auto"/>
        <w:jc w:val="both"/>
        <w:rPr>
          <w:rFonts w:ascii="Cambria" w:eastAsia="Times New Roman" w:hAnsi="Cambria" w:cs="Times New Roman"/>
        </w:rPr>
      </w:pPr>
    </w:p>
    <w:p w14:paraId="613B11AB"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Pediatric assent will be taken on all cognitively intact children who are of appropriate age. The asse</w:t>
      </w:r>
      <w:r w:rsidRPr="00381CE7">
        <w:rPr>
          <w:rFonts w:ascii="Cambria" w:eastAsia="Times New Roman" w:hAnsi="Cambria" w:cs="Times New Roman"/>
          <w:color w:val="000000"/>
        </w:rPr>
        <w:t>nt includes language informing the children that their par</w:t>
      </w:r>
      <w:r w:rsidRPr="00485E38">
        <w:rPr>
          <w:rFonts w:ascii="Cambria" w:eastAsia="Times New Roman" w:hAnsi="Cambria" w:cs="Times New Roman"/>
          <w:color w:val="000000"/>
        </w:rPr>
        <w:t>ents may choose to share their de-identified data with secure, public research databases, and that if they disagree with that plan after they turn 18, they should contact the study team. The study team will check if it is possible to retrieve and destroy data at that point, although it may not be possible because of de-identification. </w:t>
      </w:r>
    </w:p>
    <w:p w14:paraId="3221BD97" w14:textId="77777777" w:rsidR="00A95DF0" w:rsidRPr="00020C67" w:rsidRDefault="00A95DF0" w:rsidP="00020C67">
      <w:pPr>
        <w:spacing w:after="0" w:line="240" w:lineRule="auto"/>
        <w:jc w:val="both"/>
        <w:rPr>
          <w:rFonts w:ascii="Cambria" w:eastAsia="Times New Roman" w:hAnsi="Cambria" w:cs="Times New Roman"/>
        </w:rPr>
      </w:pPr>
    </w:p>
    <w:p w14:paraId="537315FB" w14:textId="5865D9FF"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Children who turn 18 during the study and who are capable of providing informed consent will be re-consented at tha</w:t>
      </w:r>
      <w:r w:rsidRPr="00381CE7">
        <w:rPr>
          <w:rFonts w:ascii="Cambria" w:eastAsia="Times New Roman" w:hAnsi="Cambria" w:cs="Times New Roman"/>
          <w:color w:val="000000"/>
        </w:rPr>
        <w:t xml:space="preserve">t time using the adult (cognitively intact 18-21) consent form. The informed consent and pre-test education session will always be performed by a study </w:t>
      </w:r>
      <w:r w:rsidR="00381047">
        <w:rPr>
          <w:rFonts w:ascii="Cambria" w:eastAsia="Times New Roman" w:hAnsi="Cambria" w:cs="Times New Roman"/>
          <w:color w:val="000000"/>
        </w:rPr>
        <w:t>GC</w:t>
      </w:r>
      <w:r w:rsidRPr="00381CE7">
        <w:rPr>
          <w:rFonts w:ascii="Cambria" w:eastAsia="Times New Roman" w:hAnsi="Cambria" w:cs="Times New Roman"/>
          <w:color w:val="000000"/>
        </w:rPr>
        <w:t xml:space="preserve"> during the Baseline visit. If we are unable to contact the 18-year-old, and if we have not yet shared their de-identified data with secure, publ</w:t>
      </w:r>
      <w:r w:rsidRPr="00381047">
        <w:rPr>
          <w:rFonts w:ascii="Cambria" w:eastAsia="Times New Roman" w:hAnsi="Cambria" w:cs="Times New Roman"/>
          <w:color w:val="000000"/>
        </w:rPr>
        <w:t>ic research databases, we will not share it </w:t>
      </w:r>
    </w:p>
    <w:p w14:paraId="011F2D02" w14:textId="77777777" w:rsidR="00A95DF0" w:rsidRPr="00020C67" w:rsidRDefault="00A95DF0" w:rsidP="00020C67">
      <w:pPr>
        <w:spacing w:after="0" w:line="240" w:lineRule="auto"/>
        <w:jc w:val="both"/>
        <w:rPr>
          <w:rFonts w:ascii="Cambria" w:eastAsia="Times New Roman" w:hAnsi="Cambria" w:cs="Times New Roman"/>
        </w:rPr>
      </w:pPr>
    </w:p>
    <w:p w14:paraId="240E4BA4" w14:textId="56690159"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Our informed consent documents have been reviewed with our Genomics Stakeholder </w:t>
      </w:r>
      <w:r w:rsidR="00A512B8" w:rsidRPr="00381CE7">
        <w:rPr>
          <w:rFonts w:ascii="Cambria" w:eastAsia="Times New Roman" w:hAnsi="Cambria" w:cs="Times New Roman"/>
          <w:color w:val="000000"/>
        </w:rPr>
        <w:t>B</w:t>
      </w:r>
      <w:r w:rsidRPr="00381CE7">
        <w:rPr>
          <w:rFonts w:ascii="Cambria" w:eastAsia="Times New Roman" w:hAnsi="Cambria" w:cs="Times New Roman"/>
          <w:color w:val="000000"/>
        </w:rPr>
        <w:t>oard and study bioethicists for their input about language, appropriateness, and inclusivity.</w:t>
      </w:r>
    </w:p>
    <w:p w14:paraId="5378A8F9" w14:textId="77777777" w:rsidR="00A95DF0" w:rsidRPr="00020C67" w:rsidRDefault="00A95DF0" w:rsidP="00020C67">
      <w:pPr>
        <w:spacing w:after="0" w:line="240" w:lineRule="auto"/>
        <w:jc w:val="both"/>
        <w:rPr>
          <w:rFonts w:ascii="Cambria" w:eastAsia="Times New Roman" w:hAnsi="Cambria" w:cs="Times New Roman"/>
        </w:rPr>
      </w:pPr>
    </w:p>
    <w:p w14:paraId="56F727FE"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VI.b. Parental Approval and Child Assent</w:t>
      </w:r>
    </w:p>
    <w:p w14:paraId="62C62106"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Child assent will be obtained in all cognitively appropriate children who are capable of doing so.</w:t>
      </w:r>
    </w:p>
    <w:p w14:paraId="65EDD6A4" w14:textId="77777777" w:rsidR="00A95DF0" w:rsidRPr="00020C67" w:rsidRDefault="00A95DF0" w:rsidP="00020C67">
      <w:pPr>
        <w:spacing w:after="0" w:line="240" w:lineRule="auto"/>
        <w:jc w:val="both"/>
        <w:rPr>
          <w:rFonts w:ascii="Cambria" w:eastAsia="Times New Roman" w:hAnsi="Cambria" w:cs="Times New Roman"/>
        </w:rPr>
      </w:pPr>
    </w:p>
    <w:p w14:paraId="70504E42"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VI.c. Remuneration and Costs</w:t>
      </w:r>
    </w:p>
    <w:p w14:paraId="53D71D68" w14:textId="6BE182DE"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There will be no cost to participate in this study. The costs </w:t>
      </w:r>
      <w:r w:rsidRPr="00381CE7">
        <w:rPr>
          <w:rFonts w:ascii="Cambria" w:eastAsia="Times New Roman" w:hAnsi="Cambria" w:cs="Times New Roman"/>
          <w:color w:val="000000"/>
        </w:rPr>
        <w:t>of study-related genomic testing are covered by the study</w:t>
      </w:r>
      <w:r w:rsidRPr="00485E38">
        <w:rPr>
          <w:rFonts w:ascii="Cambria" w:eastAsia="Times New Roman" w:hAnsi="Cambria" w:cs="Times New Roman"/>
          <w:color w:val="000000"/>
        </w:rPr>
        <w:t xml:space="preserve"> and will not be billed to patients.  Similarly, they will not be billed for study visits (Baseline, ROR1, ROR2). If additional consultations or clinical studies are needed based on the results of genomic testing, they will be billed as part of routine clinical are, as they would be done for clinical purposes.</w:t>
      </w:r>
    </w:p>
    <w:p w14:paraId="368D6AAD" w14:textId="77777777" w:rsidR="00A95DF0" w:rsidRPr="00020C67" w:rsidRDefault="00A95DF0" w:rsidP="00020C67">
      <w:pPr>
        <w:spacing w:after="0" w:line="240" w:lineRule="auto"/>
        <w:jc w:val="both"/>
        <w:rPr>
          <w:rFonts w:ascii="Cambria" w:eastAsia="Times New Roman" w:hAnsi="Cambria" w:cs="Times New Roman"/>
        </w:rPr>
      </w:pPr>
    </w:p>
    <w:p w14:paraId="6A425293"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Study subjects will receive $20 gift cards (choice of Amazon, Target, or CVS) at the Baseline and ROR1 visits, and $40 for the ROR2 visit. Thi</w:t>
      </w:r>
      <w:r w:rsidRPr="00381CE7">
        <w:rPr>
          <w:rFonts w:ascii="Cambria" w:eastAsia="Times New Roman" w:hAnsi="Cambria" w:cs="Times New Roman"/>
          <w:color w:val="000000"/>
        </w:rPr>
        <w:t>s amount will be paid to the ‘family’ as a whole, meaning if a cognitively intact adult child (18-21) participates with his/her parent(s), this amount will be paid to the ‘family’, not individual ‘subjects’. If the subject withdraws from the study before all visits are completed, they will be paid for the completed visits.</w:t>
      </w:r>
    </w:p>
    <w:p w14:paraId="0D66C88B"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 xml:space="preserve">    </w:t>
      </w:r>
    </w:p>
    <w:p w14:paraId="3B2828A1"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VI.d. Provisions to Protect Patient Privacy</w:t>
      </w:r>
    </w:p>
    <w:p w14:paraId="0EAB81CE"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All contact with the patient regarding the research will be done privately in a room with the door closed. Only authorized personnel will </w:t>
      </w:r>
      <w:r w:rsidRPr="00381CE7">
        <w:rPr>
          <w:rFonts w:ascii="Cambria" w:eastAsia="Times New Roman" w:hAnsi="Cambria" w:cs="Times New Roman"/>
          <w:color w:val="000000"/>
        </w:rPr>
        <w:t xml:space="preserve">be present when discussing the research. No sensitive issues will be discussed in a public area. Every effort will be put in place to limit the amount of information left on a phone message and/or email. The subject will be asked what their preference will be in communicating with them (phone, email, </w:t>
      </w:r>
      <w:r w:rsidRPr="00381CE7">
        <w:rPr>
          <w:rFonts w:ascii="Cambria" w:eastAsia="Times New Roman" w:hAnsi="Cambria" w:cs="Times New Roman"/>
          <w:i/>
          <w:color w:val="000000"/>
        </w:rPr>
        <w:t>etc.</w:t>
      </w:r>
      <w:r w:rsidRPr="00381047">
        <w:rPr>
          <w:rFonts w:ascii="Cambria" w:eastAsia="Times New Roman" w:hAnsi="Cambria" w:cs="Times New Roman"/>
          <w:color w:val="000000"/>
        </w:rPr>
        <w:t>) and this will be recorded by the CRC. </w:t>
      </w:r>
    </w:p>
    <w:p w14:paraId="649F8317" w14:textId="77777777" w:rsidR="00A95DF0" w:rsidRPr="00020C67" w:rsidRDefault="00A95DF0" w:rsidP="00020C67">
      <w:pPr>
        <w:spacing w:after="0" w:line="240" w:lineRule="auto"/>
        <w:jc w:val="both"/>
        <w:rPr>
          <w:rFonts w:ascii="Cambria" w:eastAsia="Times New Roman" w:hAnsi="Cambria" w:cs="Times New Roman"/>
        </w:rPr>
      </w:pPr>
    </w:p>
    <w:p w14:paraId="5674FF97" w14:textId="77777777" w:rsidR="00A95DF0" w:rsidRPr="009D7DDD" w:rsidRDefault="00A95DF0" w:rsidP="00020C67">
      <w:pPr>
        <w:numPr>
          <w:ilvl w:val="0"/>
          <w:numId w:val="16"/>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Risks and Benefits</w:t>
      </w:r>
    </w:p>
    <w:p w14:paraId="617E35D2" w14:textId="77777777" w:rsidR="00A95DF0" w:rsidRPr="00020C67" w:rsidRDefault="00A95DF0" w:rsidP="00020C67">
      <w:pPr>
        <w:spacing w:after="120" w:line="240" w:lineRule="auto"/>
        <w:jc w:val="both"/>
        <w:rPr>
          <w:rFonts w:ascii="Cambria" w:eastAsia="Times New Roman" w:hAnsi="Cambria" w:cs="Times New Roman"/>
        </w:rPr>
      </w:pPr>
      <w:r w:rsidRPr="00381CE7">
        <w:rPr>
          <w:rFonts w:ascii="Cambria" w:eastAsia="Times New Roman" w:hAnsi="Cambria" w:cs="Times New Roman"/>
          <w:b/>
          <w:bCs/>
          <w:i/>
          <w:iCs/>
          <w:color w:val="000000"/>
        </w:rPr>
        <w:t>VII.a. Risks and Protection Against Risks</w:t>
      </w:r>
    </w:p>
    <w:p w14:paraId="41E39DB1"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There are risks, discomforts, and inconveniences associated with any research study. These deserve care</w:t>
      </w:r>
      <w:r w:rsidRPr="00381CE7">
        <w:rPr>
          <w:rFonts w:ascii="Cambria" w:eastAsia="Times New Roman" w:hAnsi="Cambria" w:cs="Times New Roman"/>
          <w:color w:val="000000"/>
        </w:rPr>
        <w:t>ful thought. In addition to what is described below, there may be unforeseeable risks that occur as a result of exome sequencing and its clinical interpretation. </w:t>
      </w:r>
    </w:p>
    <w:p w14:paraId="5425786D" w14:textId="77777777" w:rsidR="00A95DF0" w:rsidRPr="00020C67" w:rsidRDefault="00A95DF0" w:rsidP="00020C67">
      <w:pPr>
        <w:spacing w:after="0" w:line="240" w:lineRule="auto"/>
        <w:jc w:val="both"/>
        <w:rPr>
          <w:rFonts w:ascii="Cambria" w:eastAsia="Times New Roman" w:hAnsi="Cambria" w:cs="Times New Roman"/>
        </w:rPr>
      </w:pPr>
    </w:p>
    <w:p w14:paraId="3C89C15E" w14:textId="210DCA9F"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Risks related to randomization:</w:t>
      </w:r>
      <w:r w:rsidRPr="00381CE7">
        <w:rPr>
          <w:rFonts w:ascii="Cambria" w:eastAsia="Times New Roman" w:hAnsi="Cambria" w:cs="Times New Roman"/>
          <w:color w:val="000000"/>
        </w:rPr>
        <w:t>  We cannot fathom any risks specifically related to participation in either the</w:t>
      </w:r>
      <w:r w:rsidR="00AB4CB3" w:rsidRPr="00485E38">
        <w:rPr>
          <w:rFonts w:ascii="Cambria" w:eastAsia="Times New Roman" w:hAnsi="Cambria" w:cs="Times New Roman"/>
          <w:color w:val="000000"/>
        </w:rPr>
        <w:t xml:space="preserve"> screen</w:t>
      </w:r>
      <w:r w:rsidR="006F66F3" w:rsidRPr="00485E38">
        <w:rPr>
          <w:rFonts w:ascii="Cambria" w:eastAsia="Times New Roman" w:hAnsi="Cambria" w:cs="Times New Roman"/>
          <w:color w:val="000000"/>
        </w:rPr>
        <w:t>-</w:t>
      </w:r>
      <w:r w:rsidR="00AB4CB3" w:rsidRPr="00485E38">
        <w:rPr>
          <w:rFonts w:ascii="Cambria" w:eastAsia="Times New Roman" w:hAnsi="Cambria" w:cs="Times New Roman"/>
          <w:color w:val="000000"/>
        </w:rPr>
        <w:t>share vs non-screen</w:t>
      </w:r>
      <w:r w:rsidR="006F66F3" w:rsidRPr="00485E38">
        <w:rPr>
          <w:rFonts w:ascii="Cambria" w:eastAsia="Times New Roman" w:hAnsi="Cambria" w:cs="Times New Roman"/>
          <w:color w:val="000000"/>
        </w:rPr>
        <w:t>-</w:t>
      </w:r>
      <w:r w:rsidR="00AB4CB3" w:rsidRPr="00485E38">
        <w:rPr>
          <w:rFonts w:ascii="Cambria" w:eastAsia="Times New Roman" w:hAnsi="Cambria" w:cs="Times New Roman"/>
          <w:color w:val="000000"/>
        </w:rPr>
        <w:t>share arms</w:t>
      </w:r>
      <w:r w:rsidRPr="00485E38">
        <w:rPr>
          <w:rFonts w:ascii="Cambria" w:eastAsia="Times New Roman" w:hAnsi="Cambria" w:cs="Times New Roman"/>
          <w:color w:val="000000"/>
        </w:rPr>
        <w:t>.  This is important as this randomization will take place prior to informed consent.</w:t>
      </w:r>
      <w:r w:rsidR="00C1388D" w:rsidRPr="00485E38">
        <w:rPr>
          <w:rFonts w:ascii="Cambria" w:eastAsia="Times New Roman" w:hAnsi="Cambria" w:cs="Times New Roman"/>
          <w:color w:val="000000"/>
        </w:rPr>
        <w:t xml:space="preserve"> The study’s randomization scheme focuses on how results will be delivered (telehealth with screen</w:t>
      </w:r>
      <w:r w:rsidR="006F66F3" w:rsidRPr="00485E38">
        <w:rPr>
          <w:rFonts w:ascii="Cambria" w:eastAsia="Times New Roman" w:hAnsi="Cambria" w:cs="Times New Roman"/>
          <w:color w:val="000000"/>
        </w:rPr>
        <w:t xml:space="preserve"> </w:t>
      </w:r>
      <w:r w:rsidR="00C1388D" w:rsidRPr="00485E38">
        <w:rPr>
          <w:rFonts w:ascii="Cambria" w:eastAsia="Times New Roman" w:hAnsi="Cambria" w:cs="Times New Roman"/>
          <w:color w:val="000000"/>
        </w:rPr>
        <w:t>share vs telehealth without screen</w:t>
      </w:r>
      <w:r w:rsidR="006F66F3" w:rsidRPr="00485E38">
        <w:rPr>
          <w:rFonts w:ascii="Cambria" w:eastAsia="Times New Roman" w:hAnsi="Cambria" w:cs="Times New Roman"/>
          <w:color w:val="000000"/>
        </w:rPr>
        <w:t xml:space="preserve"> </w:t>
      </w:r>
      <w:r w:rsidR="00C1388D" w:rsidRPr="00485E38">
        <w:rPr>
          <w:rFonts w:ascii="Cambria" w:eastAsia="Times New Roman" w:hAnsi="Cambria" w:cs="Times New Roman"/>
          <w:color w:val="000000"/>
        </w:rPr>
        <w:t xml:space="preserve">share), so any theoretical risks would relate to understanding of results. </w:t>
      </w:r>
      <w:r w:rsidR="000F369A" w:rsidRPr="00485E38">
        <w:rPr>
          <w:rFonts w:ascii="Cambria" w:eastAsia="Times New Roman" w:hAnsi="Cambria" w:cs="Times New Roman"/>
          <w:color w:val="000000"/>
        </w:rPr>
        <w:t xml:space="preserve">As there are </w:t>
      </w:r>
      <w:r w:rsidR="00C1388D" w:rsidRPr="00485E38">
        <w:rPr>
          <w:rFonts w:ascii="Cambria" w:eastAsia="Times New Roman" w:hAnsi="Cambria" w:cs="Times New Roman"/>
          <w:color w:val="000000"/>
        </w:rPr>
        <w:t>currently</w:t>
      </w:r>
      <w:r w:rsidR="00C1388D" w:rsidRPr="00485E38">
        <w:rPr>
          <w:rFonts w:ascii="Cambria" w:eastAsia="Times New Roman" w:hAnsi="Cambria" w:cs="Times New Roman"/>
          <w:color w:val="000000"/>
          <w:u w:val="single"/>
        </w:rPr>
        <w:t xml:space="preserve"> </w:t>
      </w:r>
      <w:r w:rsidR="000F369A" w:rsidRPr="00485E38">
        <w:rPr>
          <w:rFonts w:ascii="Cambria" w:eastAsia="Times New Roman" w:hAnsi="Cambria" w:cs="Times New Roman"/>
          <w:color w:val="000000"/>
          <w:u w:val="single"/>
        </w:rPr>
        <w:t>no</w:t>
      </w:r>
      <w:r w:rsidR="000F369A" w:rsidRPr="00485E38">
        <w:rPr>
          <w:rFonts w:ascii="Cambria" w:eastAsia="Times New Roman" w:hAnsi="Cambria" w:cs="Times New Roman"/>
          <w:color w:val="000000"/>
        </w:rPr>
        <w:t xml:space="preserve"> established practices </w:t>
      </w:r>
      <w:r w:rsidR="00500FFB" w:rsidRPr="00485E38">
        <w:rPr>
          <w:rFonts w:ascii="Cambria" w:eastAsia="Times New Roman" w:hAnsi="Cambria" w:cs="Times New Roman"/>
          <w:color w:val="000000"/>
        </w:rPr>
        <w:t xml:space="preserve">or standards of care </w:t>
      </w:r>
      <w:r w:rsidR="000F369A" w:rsidRPr="00485E38">
        <w:rPr>
          <w:rFonts w:ascii="Cambria" w:eastAsia="Times New Roman" w:hAnsi="Cambria" w:cs="Times New Roman"/>
          <w:color w:val="000000"/>
        </w:rPr>
        <w:t xml:space="preserve">for how genetic counseling is performed by telehealth, </w:t>
      </w:r>
      <w:r w:rsidR="00CB4E2A" w:rsidRPr="00485E38">
        <w:rPr>
          <w:rFonts w:ascii="Cambria" w:eastAsia="Times New Roman" w:hAnsi="Cambria" w:cs="Times New Roman"/>
          <w:color w:val="000000"/>
        </w:rPr>
        <w:t xml:space="preserve">so </w:t>
      </w:r>
      <w:r w:rsidR="00500FFB" w:rsidRPr="00485E38">
        <w:rPr>
          <w:rFonts w:ascii="Cambria" w:eastAsia="Times New Roman" w:hAnsi="Cambria" w:cs="Times New Roman"/>
          <w:color w:val="000000"/>
        </w:rPr>
        <w:t>we do not believe that partic</w:t>
      </w:r>
      <w:r w:rsidR="00C1388D" w:rsidRPr="00485E38">
        <w:rPr>
          <w:rFonts w:ascii="Cambria" w:eastAsia="Times New Roman" w:hAnsi="Cambria" w:cs="Times New Roman"/>
          <w:color w:val="000000"/>
        </w:rPr>
        <w:t>ipants in either arm are at greater risk</w:t>
      </w:r>
      <w:r w:rsidR="00500FFB" w:rsidRPr="00485E38">
        <w:rPr>
          <w:rFonts w:ascii="Cambria" w:eastAsia="Times New Roman" w:hAnsi="Cambria" w:cs="Times New Roman"/>
          <w:color w:val="000000"/>
        </w:rPr>
        <w:t xml:space="preserve"> because of randomization. Both arms will have results delivered by experienced</w:t>
      </w:r>
      <w:r w:rsidR="00CB4E2A" w:rsidRPr="00485E38">
        <w:rPr>
          <w:rFonts w:ascii="Cambria" w:eastAsia="Times New Roman" w:hAnsi="Cambria" w:cs="Times New Roman"/>
          <w:color w:val="000000"/>
        </w:rPr>
        <w:t xml:space="preserve"> and trained</w:t>
      </w:r>
      <w:r w:rsidR="00C1388D" w:rsidRPr="00485E38">
        <w:rPr>
          <w:rFonts w:ascii="Cambria" w:eastAsia="Times New Roman" w:hAnsi="Cambria" w:cs="Times New Roman"/>
          <w:color w:val="000000"/>
        </w:rPr>
        <w:t xml:space="preserve"> </w:t>
      </w:r>
      <w:r w:rsidR="00FB5987" w:rsidRPr="00485E38">
        <w:rPr>
          <w:rFonts w:ascii="Cambria" w:eastAsia="Times New Roman" w:hAnsi="Cambria" w:cs="Times New Roman"/>
          <w:color w:val="000000"/>
        </w:rPr>
        <w:t>GCs</w:t>
      </w:r>
      <w:r w:rsidR="00C1388D" w:rsidRPr="00485E38">
        <w:rPr>
          <w:rFonts w:ascii="Cambria" w:eastAsia="Times New Roman" w:hAnsi="Cambria" w:cs="Times New Roman"/>
          <w:color w:val="000000"/>
        </w:rPr>
        <w:t xml:space="preserve"> who will use their professional expertise to ensure maximal comprehension. </w:t>
      </w:r>
      <w:r w:rsidR="00AC3FF6" w:rsidRPr="00485E38">
        <w:rPr>
          <w:rFonts w:ascii="Cambria" w:eastAsia="Times New Roman" w:hAnsi="Cambria" w:cs="Times New Roman"/>
          <w:color w:val="000000"/>
        </w:rPr>
        <w:t>GCs</w:t>
      </w:r>
      <w:r w:rsidR="00CB4E2A" w:rsidRPr="00485E38">
        <w:rPr>
          <w:rFonts w:ascii="Cambria" w:eastAsia="Times New Roman" w:hAnsi="Cambria" w:cs="Times New Roman"/>
          <w:color w:val="000000"/>
        </w:rPr>
        <w:t xml:space="preserve"> </w:t>
      </w:r>
      <w:r w:rsidR="00AC3FF6" w:rsidRPr="00485E38">
        <w:rPr>
          <w:rFonts w:ascii="Cambria" w:eastAsia="Times New Roman" w:hAnsi="Cambria" w:cs="Times New Roman"/>
          <w:color w:val="000000"/>
        </w:rPr>
        <w:t>will use either</w:t>
      </w:r>
      <w:r w:rsidR="00CB4E2A" w:rsidRPr="00485E38">
        <w:rPr>
          <w:rFonts w:ascii="Cambria" w:eastAsia="Times New Roman" w:hAnsi="Cambria" w:cs="Times New Roman"/>
          <w:color w:val="000000"/>
        </w:rPr>
        <w:t xml:space="preserve"> standardized images </w:t>
      </w:r>
      <w:r w:rsidR="00AC3FF6" w:rsidRPr="00485E38">
        <w:rPr>
          <w:rFonts w:ascii="Cambria" w:eastAsia="Times New Roman" w:hAnsi="Cambria" w:cs="Times New Roman"/>
          <w:color w:val="000000"/>
        </w:rPr>
        <w:t xml:space="preserve">or the GUÍA tool </w:t>
      </w:r>
      <w:r w:rsidR="00CB4E2A" w:rsidRPr="00485E38">
        <w:rPr>
          <w:rFonts w:ascii="Cambria" w:eastAsia="Times New Roman" w:hAnsi="Cambria" w:cs="Times New Roman"/>
          <w:color w:val="000000"/>
        </w:rPr>
        <w:t xml:space="preserve">to explain genetic results, and </w:t>
      </w:r>
      <w:r w:rsidR="00AC3FF6" w:rsidRPr="00485E38">
        <w:rPr>
          <w:rFonts w:ascii="Cambria" w:eastAsia="Times New Roman" w:hAnsi="Cambria" w:cs="Times New Roman"/>
          <w:color w:val="000000"/>
        </w:rPr>
        <w:t>images deployed in both approaches will</w:t>
      </w:r>
      <w:r w:rsidR="00CB4E2A" w:rsidRPr="00485E38">
        <w:rPr>
          <w:rFonts w:ascii="Cambria" w:eastAsia="Times New Roman" w:hAnsi="Cambria" w:cs="Times New Roman"/>
          <w:color w:val="000000"/>
        </w:rPr>
        <w:t xml:space="preserve"> </w:t>
      </w:r>
      <w:r w:rsidR="00AC3FF6" w:rsidRPr="00485E38">
        <w:rPr>
          <w:rFonts w:ascii="Cambria" w:eastAsia="Times New Roman" w:hAnsi="Cambria" w:cs="Times New Roman"/>
          <w:color w:val="000000"/>
        </w:rPr>
        <w:t>be very similar</w:t>
      </w:r>
      <w:r w:rsidR="00CB4E2A" w:rsidRPr="00485E38">
        <w:rPr>
          <w:rFonts w:ascii="Cambria" w:eastAsia="Times New Roman" w:hAnsi="Cambria" w:cs="Times New Roman"/>
          <w:color w:val="000000"/>
        </w:rPr>
        <w:t xml:space="preserve"> across both arms. The only difference will be the </w:t>
      </w:r>
      <w:r w:rsidR="00CB4E2A" w:rsidRPr="00485E38">
        <w:rPr>
          <w:rFonts w:ascii="Cambria" w:eastAsia="Times New Roman" w:hAnsi="Cambria" w:cs="Times New Roman"/>
          <w:i/>
          <w:color w:val="000000"/>
        </w:rPr>
        <w:t xml:space="preserve">delivery </w:t>
      </w:r>
      <w:r w:rsidR="00CB4E2A" w:rsidRPr="00485E38">
        <w:rPr>
          <w:rFonts w:ascii="Cambria" w:eastAsia="Times New Roman" w:hAnsi="Cambria" w:cs="Times New Roman"/>
          <w:color w:val="000000"/>
        </w:rPr>
        <w:t xml:space="preserve">of those images (ie, over screen-share capabilities or over video capabilities). </w:t>
      </w:r>
    </w:p>
    <w:p w14:paraId="0BCC0FD7" w14:textId="77777777" w:rsidR="00A95DF0" w:rsidRPr="00020C67" w:rsidRDefault="00A95DF0" w:rsidP="00020C67">
      <w:pPr>
        <w:spacing w:after="0" w:line="240" w:lineRule="auto"/>
        <w:jc w:val="both"/>
        <w:rPr>
          <w:rFonts w:ascii="Cambria" w:eastAsia="Times New Roman" w:hAnsi="Cambria" w:cs="Times New Roman"/>
        </w:rPr>
      </w:pPr>
    </w:p>
    <w:p w14:paraId="2E8852AB"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lastRenderedPageBreak/>
        <w:t>Risks related to bloo</w:t>
      </w:r>
      <w:r w:rsidRPr="00381CE7">
        <w:rPr>
          <w:rFonts w:ascii="Cambria" w:eastAsia="Times New Roman" w:hAnsi="Cambria" w:cs="Times New Roman"/>
          <w:b/>
          <w:bCs/>
          <w:color w:val="000000"/>
        </w:rPr>
        <w:t>d draw:</w:t>
      </w:r>
      <w:r w:rsidRPr="00381CE7">
        <w:rPr>
          <w:rFonts w:ascii="Cambria" w:eastAsia="Times New Roman" w:hAnsi="Cambria" w:cs="Times New Roman"/>
          <w:color w:val="000000"/>
        </w:rPr>
        <w:t xml:space="preserve"> Rarely, the vein where we inserted the needle will become sore or red. Sometimes, a temporary harmless “black and blue” may develop. Very rarely, fainting may occur. </w:t>
      </w:r>
    </w:p>
    <w:p w14:paraId="3ED8405D" w14:textId="77777777" w:rsidR="00A95DF0" w:rsidRPr="00020C67" w:rsidRDefault="00A95DF0" w:rsidP="00020C67">
      <w:pPr>
        <w:spacing w:after="0" w:line="240" w:lineRule="auto"/>
        <w:jc w:val="both"/>
        <w:rPr>
          <w:rFonts w:ascii="Cambria" w:eastAsia="Times New Roman" w:hAnsi="Cambria" w:cs="Times New Roman"/>
        </w:rPr>
      </w:pPr>
    </w:p>
    <w:p w14:paraId="092A0C40"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Risks related to learning genetic information:</w:t>
      </w:r>
      <w:r w:rsidRPr="00381CE7">
        <w:rPr>
          <w:rFonts w:ascii="Cambria" w:eastAsia="Times New Roman" w:hAnsi="Cambria" w:cs="Times New Roman"/>
          <w:color w:val="000000"/>
        </w:rPr>
        <w:t xml:space="preserve"> There is a chance that the subject may learn that they carry a gene mutation that may increase their risk for a specific medical condition. Although they will be referred for medical help or risk management as appropriate, this knowledge might be upsetti</w:t>
      </w:r>
      <w:r w:rsidRPr="00485E38">
        <w:rPr>
          <w:rFonts w:ascii="Cambria" w:eastAsia="Times New Roman" w:hAnsi="Cambria" w:cs="Times New Roman"/>
          <w:color w:val="000000"/>
        </w:rPr>
        <w:t>ng and may cause you anxiety or psychological distress.  As described above, some of these conditions may have treatment or screening options available, while others may not.  Some of these conditions may also be potentially stigmatizing. The subject will be asked to think about if they want this information long before the data is available. However, even if they decide to receive this information, it can be upsetting.</w:t>
      </w:r>
    </w:p>
    <w:p w14:paraId="2D24AC46" w14:textId="77777777" w:rsidR="00A95DF0" w:rsidRPr="00020C67" w:rsidRDefault="00A95DF0" w:rsidP="00020C67">
      <w:pPr>
        <w:spacing w:after="0" w:line="240" w:lineRule="auto"/>
        <w:jc w:val="both"/>
        <w:rPr>
          <w:rFonts w:ascii="Cambria" w:eastAsia="Times New Roman" w:hAnsi="Cambria" w:cs="Times New Roman"/>
        </w:rPr>
      </w:pPr>
    </w:p>
    <w:p w14:paraId="72F1B5AB"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Subjects may also learn that a family member is at risk to develop certain medical conditions or diseases. They may also l</w:t>
      </w:r>
      <w:r w:rsidRPr="00381CE7">
        <w:rPr>
          <w:rFonts w:ascii="Cambria" w:eastAsia="Times New Roman" w:hAnsi="Cambria" w:cs="Times New Roman"/>
          <w:color w:val="000000"/>
        </w:rPr>
        <w:t>earn that their ancestry or parentage is different than they thought. This may also cause some psychological distress.</w:t>
      </w:r>
    </w:p>
    <w:p w14:paraId="3DD362D3" w14:textId="77777777" w:rsidR="00A95DF0" w:rsidRPr="00020C67" w:rsidRDefault="00A95DF0" w:rsidP="00020C67">
      <w:pPr>
        <w:spacing w:after="0" w:line="240" w:lineRule="auto"/>
        <w:jc w:val="both"/>
        <w:rPr>
          <w:rFonts w:ascii="Cambria" w:eastAsia="Times New Roman" w:hAnsi="Cambria" w:cs="Times New Roman"/>
        </w:rPr>
      </w:pPr>
    </w:p>
    <w:p w14:paraId="7182FC4F" w14:textId="3C09F2F2"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This test may suggest that biological relationships of family members are not as reported, such as non-paternity (the man identified as </w:t>
      </w:r>
      <w:r w:rsidRPr="00381CE7">
        <w:rPr>
          <w:rFonts w:ascii="Cambria" w:eastAsia="Times New Roman" w:hAnsi="Cambria" w:cs="Times New Roman"/>
          <w:color w:val="000000"/>
        </w:rPr>
        <w:t xml:space="preserve">the father of the child is not the biological father). The lab report will not directly state that there is a question about paternity, but people reading the report may be able to figure it out nonetheless. If the child </w:t>
      </w:r>
      <w:r w:rsidRPr="00485E38">
        <w:rPr>
          <w:rFonts w:ascii="Cambria" w:eastAsia="Times New Roman" w:hAnsi="Cambria" w:cs="Times New Roman"/>
          <w:color w:val="000000"/>
        </w:rPr>
        <w:t xml:space="preserve">is found to carry a pathogenic variant in a gene, this may affect their reproductive decisions. The family will have the opportunity to discuss this with the study's </w:t>
      </w:r>
      <w:r w:rsidR="00AC3FF6" w:rsidRPr="00485E38">
        <w:rPr>
          <w:rFonts w:ascii="Cambria" w:eastAsia="Times New Roman" w:hAnsi="Cambria" w:cs="Times New Roman"/>
          <w:color w:val="000000"/>
        </w:rPr>
        <w:t>GC</w:t>
      </w:r>
      <w:r w:rsidRPr="00485E38">
        <w:rPr>
          <w:rFonts w:ascii="Cambria" w:eastAsia="Times New Roman" w:hAnsi="Cambria" w:cs="Times New Roman"/>
          <w:color w:val="000000"/>
        </w:rPr>
        <w:t>, and will be offered additional genetic counseling resources for future use.</w:t>
      </w:r>
    </w:p>
    <w:p w14:paraId="491663BA" w14:textId="77777777" w:rsidR="00A95DF0" w:rsidRPr="00020C67" w:rsidRDefault="00A95DF0" w:rsidP="00020C67">
      <w:pPr>
        <w:spacing w:after="0" w:line="240" w:lineRule="auto"/>
        <w:jc w:val="both"/>
        <w:rPr>
          <w:rFonts w:ascii="Cambria" w:eastAsia="Times New Roman" w:hAnsi="Cambria" w:cs="Times New Roman"/>
        </w:rPr>
      </w:pPr>
    </w:p>
    <w:p w14:paraId="7AFCA850" w14:textId="5ACA9FC5"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Risks associated with ge</w:t>
      </w:r>
      <w:r w:rsidRPr="00381CE7">
        <w:rPr>
          <w:rFonts w:ascii="Cambria" w:eastAsia="Times New Roman" w:hAnsi="Cambria" w:cs="Times New Roman"/>
          <w:b/>
          <w:bCs/>
          <w:color w:val="000000"/>
        </w:rPr>
        <w:t xml:space="preserve">nomic testing: </w:t>
      </w:r>
      <w:r w:rsidRPr="00381CE7">
        <w:rPr>
          <w:rFonts w:ascii="Cambria" w:eastAsia="Times New Roman" w:hAnsi="Cambria" w:cs="Times New Roman"/>
          <w:color w:val="000000"/>
        </w:rPr>
        <w:t>These tests may not generate accurate results in instances that cannot be predicted. Such instances include but are not limited to: incomplete medical and/or family history, unavailability of critical fam</w:t>
      </w:r>
      <w:r w:rsidRPr="00485E38">
        <w:rPr>
          <w:rFonts w:ascii="Cambria" w:eastAsia="Times New Roman" w:hAnsi="Cambria" w:cs="Times New Roman"/>
          <w:color w:val="000000"/>
        </w:rPr>
        <w:t xml:space="preserve">ily members for help with interpretation, inaccurate reporting of family relationships, or technical problems. The results of this test may have significant medical, psychological, and social implications for </w:t>
      </w:r>
      <w:r w:rsidR="00AC3FF6" w:rsidRPr="00485E38">
        <w:rPr>
          <w:rFonts w:ascii="Cambria" w:eastAsia="Times New Roman" w:hAnsi="Cambria" w:cs="Times New Roman"/>
          <w:color w:val="000000"/>
        </w:rPr>
        <w:t xml:space="preserve">participants </w:t>
      </w:r>
      <w:r w:rsidRPr="00485E38">
        <w:rPr>
          <w:rFonts w:ascii="Cambria" w:eastAsia="Times New Roman" w:hAnsi="Cambria" w:cs="Times New Roman"/>
          <w:color w:val="000000"/>
        </w:rPr>
        <w:t xml:space="preserve">and </w:t>
      </w:r>
      <w:r w:rsidR="00AC3FF6" w:rsidRPr="00485E38">
        <w:rPr>
          <w:rFonts w:ascii="Cambria" w:eastAsia="Times New Roman" w:hAnsi="Cambria" w:cs="Times New Roman"/>
          <w:color w:val="000000"/>
        </w:rPr>
        <w:t>their</w:t>
      </w:r>
      <w:r w:rsidRPr="00485E38">
        <w:rPr>
          <w:rFonts w:ascii="Cambria" w:eastAsia="Times New Roman" w:hAnsi="Cambria" w:cs="Times New Roman"/>
          <w:color w:val="000000"/>
        </w:rPr>
        <w:t xml:space="preserve"> famil</w:t>
      </w:r>
      <w:r w:rsidR="00AC3FF6" w:rsidRPr="00485E38">
        <w:rPr>
          <w:rFonts w:ascii="Cambria" w:eastAsia="Times New Roman" w:hAnsi="Cambria" w:cs="Times New Roman"/>
          <w:color w:val="000000"/>
        </w:rPr>
        <w:t>ies</w:t>
      </w:r>
      <w:r w:rsidRPr="00485E38">
        <w:rPr>
          <w:rFonts w:ascii="Cambria" w:eastAsia="Times New Roman" w:hAnsi="Cambria" w:cs="Times New Roman"/>
          <w:color w:val="000000"/>
        </w:rPr>
        <w:t xml:space="preserve">. </w:t>
      </w:r>
      <w:r w:rsidR="00AC3FF6" w:rsidRPr="00485E38">
        <w:rPr>
          <w:rFonts w:ascii="Cambria" w:eastAsia="Times New Roman" w:hAnsi="Cambria" w:cs="Times New Roman"/>
          <w:color w:val="000000"/>
        </w:rPr>
        <w:t xml:space="preserve">Participants and </w:t>
      </w:r>
      <w:r w:rsidR="008C616C" w:rsidRPr="00485E38">
        <w:rPr>
          <w:rFonts w:ascii="Cambria" w:eastAsia="Times New Roman" w:hAnsi="Cambria" w:cs="Times New Roman"/>
          <w:color w:val="000000"/>
        </w:rPr>
        <w:t>their</w:t>
      </w:r>
      <w:r w:rsidRPr="00485E38">
        <w:rPr>
          <w:rFonts w:ascii="Cambria" w:eastAsia="Times New Roman" w:hAnsi="Cambria" w:cs="Times New Roman"/>
          <w:color w:val="000000"/>
        </w:rPr>
        <w:t xml:space="preserve"> family members may experience anxiety before, during, and after testing.</w:t>
      </w:r>
    </w:p>
    <w:p w14:paraId="49D20BC9" w14:textId="77777777" w:rsidR="00A95DF0" w:rsidRPr="00020C67" w:rsidRDefault="00A95DF0" w:rsidP="00020C67">
      <w:pPr>
        <w:spacing w:after="0" w:line="240" w:lineRule="auto"/>
        <w:jc w:val="both"/>
        <w:rPr>
          <w:rFonts w:ascii="Cambria" w:eastAsia="Times New Roman" w:hAnsi="Cambria" w:cs="Times New Roman"/>
        </w:rPr>
      </w:pPr>
    </w:p>
    <w:p w14:paraId="1A1AE847" w14:textId="460356B8"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Risks related to privacy:</w:t>
      </w:r>
      <w:r w:rsidRPr="00381CE7">
        <w:rPr>
          <w:rFonts w:ascii="Cambria" w:eastAsia="Times New Roman" w:hAnsi="Cambria" w:cs="Times New Roman"/>
          <w:color w:val="000000"/>
        </w:rPr>
        <w:t xml:space="preserve"> Privacy is very important to us, and we will use many safety measures to protect it. However, in spite of all of these protections, there is the possibility that the </w:t>
      </w:r>
      <w:r w:rsidR="00AC3FF6" w:rsidRPr="00381047">
        <w:rPr>
          <w:rFonts w:ascii="Cambria" w:eastAsia="Times New Roman" w:hAnsi="Cambria" w:cs="Times New Roman"/>
          <w:color w:val="000000"/>
        </w:rPr>
        <w:t xml:space="preserve">WGS </w:t>
      </w:r>
      <w:r w:rsidRPr="00485E38">
        <w:rPr>
          <w:rFonts w:ascii="Cambria" w:eastAsia="Times New Roman" w:hAnsi="Cambria" w:cs="Times New Roman"/>
          <w:color w:val="000000"/>
        </w:rPr>
        <w:t xml:space="preserve">data derived may, even when presented without other identifying factors, allow a subject to be re-identified, and therefore this research study cannot promise anonymity, particularly if they choose to publish or share </w:t>
      </w:r>
      <w:r w:rsidR="00AC3FF6" w:rsidRPr="00485E38">
        <w:rPr>
          <w:rFonts w:ascii="Cambria" w:eastAsia="Times New Roman" w:hAnsi="Cambria" w:cs="Times New Roman"/>
          <w:color w:val="000000"/>
        </w:rPr>
        <w:t>WGS</w:t>
      </w:r>
      <w:r w:rsidRPr="00485E38">
        <w:rPr>
          <w:rFonts w:ascii="Cambria" w:eastAsia="Times New Roman" w:hAnsi="Cambria" w:cs="Times New Roman"/>
          <w:color w:val="000000"/>
        </w:rPr>
        <w:t xml:space="preserve"> data.  The risk of this happening is very small, but may grow in the future.  We will share all genetic information with the dbGaP database, and a break in security may also pose a potential risk to blood relatives as well as the participant.  For example, it could be used to make it harder for the participant (or a relative) to get or keep a job or insurance.  If private information was misused it is possible participants may also experience other harms, such as stress, anxiety, stigmatization, or embarrassment from revealing information about family relationships, ethnic heritage, or health conditions.</w:t>
      </w:r>
    </w:p>
    <w:p w14:paraId="154D9F7F"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w:t>
      </w:r>
    </w:p>
    <w:p w14:paraId="5DEC8B59"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Specific illnesses and known genetic problems may be found by examining DNA.  In the future, insurance companies may use this information to determine if someone is able to be insured by their company.</w:t>
      </w:r>
      <w:r w:rsidRPr="00381CE7">
        <w:rPr>
          <w:rFonts w:ascii="Cambria" w:eastAsia="Times New Roman" w:hAnsi="Cambria" w:cs="Times New Roman"/>
          <w:color w:val="000000"/>
        </w:rPr>
        <w:t xml:space="preserve"> The genetic results from this study will become part of the participant’s medical record.  Insurance companies routinely have access to such records.  We will not relea</w:t>
      </w:r>
      <w:r w:rsidRPr="00485E38">
        <w:rPr>
          <w:rFonts w:ascii="Cambria" w:eastAsia="Times New Roman" w:hAnsi="Cambria" w:cs="Times New Roman"/>
          <w:color w:val="000000"/>
        </w:rPr>
        <w:t>se information about participants or their family to anyone unless authorized to do so. </w:t>
      </w:r>
    </w:p>
    <w:p w14:paraId="56AAC8B8" w14:textId="77777777" w:rsidR="00A95DF0" w:rsidRPr="00020C67" w:rsidRDefault="00A95DF0" w:rsidP="00020C67">
      <w:pPr>
        <w:spacing w:after="0" w:line="240" w:lineRule="auto"/>
        <w:jc w:val="both"/>
        <w:rPr>
          <w:rFonts w:ascii="Cambria" w:eastAsia="Times New Roman" w:hAnsi="Cambria" w:cs="Times New Roman"/>
        </w:rPr>
      </w:pPr>
    </w:p>
    <w:p w14:paraId="70E3308E"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There is a small risk that participants may face discrimination on the basis of genetic predispositions that are identified through this project.  Sometimes patients have been required to furnish </w:t>
      </w:r>
      <w:r w:rsidRPr="009D7DDD">
        <w:rPr>
          <w:rFonts w:ascii="Cambria" w:eastAsia="Times New Roman" w:hAnsi="Cambria" w:cs="Times New Roman"/>
          <w:color w:val="000000"/>
        </w:rPr>
        <w:lastRenderedPageBreak/>
        <w:t>information from genetic testing for health insurance, li</w:t>
      </w:r>
      <w:r w:rsidRPr="00381CE7">
        <w:rPr>
          <w:rFonts w:ascii="Cambria" w:eastAsia="Times New Roman" w:hAnsi="Cambria" w:cs="Times New Roman"/>
          <w:color w:val="000000"/>
        </w:rPr>
        <w:t>fe insurance, and/or a job.  There is a Federal law called the Genetic Information Nondiscrimination Act (GINA). In general, this law makes it illegal for health insuran</w:t>
      </w:r>
      <w:r w:rsidRPr="00485E38">
        <w:rPr>
          <w:rFonts w:ascii="Cambria" w:eastAsia="Times New Roman" w:hAnsi="Cambria" w:cs="Times New Roman"/>
          <w:color w:val="000000"/>
        </w:rPr>
        <w:t>ce companies, group health plans, and most employers of over 15 people to discriminate against individuals based on their genetic information. However, it does not protect against discrimination by companies that sell life insurance, disability insurance, or long-term care insurance.</w:t>
      </w:r>
    </w:p>
    <w:p w14:paraId="56CA9F23" w14:textId="77777777" w:rsidR="00A95DF0" w:rsidRPr="00020C67" w:rsidRDefault="00A95DF0" w:rsidP="00020C67">
      <w:pPr>
        <w:spacing w:after="0" w:line="240" w:lineRule="auto"/>
        <w:jc w:val="both"/>
        <w:rPr>
          <w:rFonts w:ascii="Cambria" w:eastAsia="Times New Roman" w:hAnsi="Cambria" w:cs="Times New Roman"/>
        </w:rPr>
      </w:pPr>
    </w:p>
    <w:p w14:paraId="2C70461F" w14:textId="17DAC95F" w:rsidR="00084E82"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 risk of taking part in this study is the possibility of</w:t>
      </w:r>
      <w:r w:rsidRPr="00381CE7">
        <w:rPr>
          <w:rFonts w:ascii="Cambria" w:eastAsia="Times New Roman" w:hAnsi="Cambria" w:cs="Times New Roman"/>
          <w:color w:val="000000"/>
        </w:rPr>
        <w:t xml:space="preserve"> a loss of confidentiality or privacy. Loss of privacy means having personal information shared with someone who is not on the study team and was not supposed to see or know about information.</w:t>
      </w:r>
      <w:r w:rsidR="00084E82" w:rsidRPr="00020C67">
        <w:rPr>
          <w:rFonts w:ascii="Cambria" w:eastAsia="Times New Roman" w:hAnsi="Cambria" w:cs="Times New Roman"/>
        </w:rPr>
        <w:t xml:space="preserve"> </w:t>
      </w:r>
      <w:r w:rsidR="00F2185E" w:rsidRPr="00020C67">
        <w:rPr>
          <w:rFonts w:ascii="Cambria" w:eastAsia="Times New Roman" w:hAnsi="Cambria" w:cs="Times New Roman"/>
        </w:rPr>
        <w:t>Use of telehealth platforms is associated with the risk of unauthorized individuals gaining access to personal data, for example,</w:t>
      </w:r>
      <w:r w:rsidR="006765B6" w:rsidRPr="00020C67">
        <w:rPr>
          <w:rFonts w:ascii="Cambria" w:eastAsia="Times New Roman" w:hAnsi="Cambria" w:cs="Times New Roman"/>
        </w:rPr>
        <w:t xml:space="preserve"> due to</w:t>
      </w:r>
      <w:r w:rsidR="00F2185E" w:rsidRPr="00020C67">
        <w:rPr>
          <w:rFonts w:ascii="Cambria" w:eastAsia="Times New Roman" w:hAnsi="Cambria" w:cs="Times New Roman"/>
        </w:rPr>
        <w:t xml:space="preserve"> security incidents like</w:t>
      </w:r>
      <w:r w:rsidR="006765B6" w:rsidRPr="00020C67">
        <w:rPr>
          <w:rFonts w:ascii="Cambria" w:eastAsia="Times New Roman" w:hAnsi="Cambria" w:cs="Times New Roman"/>
        </w:rPr>
        <w:t xml:space="preserve"> data breaches</w:t>
      </w:r>
      <w:r w:rsidR="00F2185E" w:rsidRPr="00020C67">
        <w:rPr>
          <w:rFonts w:ascii="Cambria" w:eastAsia="Times New Roman" w:hAnsi="Cambria" w:cs="Times New Roman"/>
        </w:rPr>
        <w:t xml:space="preserve"> and cyberattacks. Although participants are asked to find a secure and private physical location to conduct telehealth visits, there is the chance that these visits may be held in a place where relatives or others may hear information discussed during these study visits.</w:t>
      </w:r>
    </w:p>
    <w:p w14:paraId="7DECA62F" w14:textId="77777777" w:rsidR="00A95DF0" w:rsidRPr="00020C67" w:rsidRDefault="00A95DF0" w:rsidP="00020C67">
      <w:pPr>
        <w:spacing w:after="0" w:line="240" w:lineRule="auto"/>
        <w:jc w:val="both"/>
        <w:rPr>
          <w:rFonts w:ascii="Cambria" w:eastAsia="Times New Roman" w:hAnsi="Cambria" w:cs="Times New Roman"/>
        </w:rPr>
      </w:pPr>
    </w:p>
    <w:p w14:paraId="7AB0639D"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Risks related to answering questionnaires:</w:t>
      </w:r>
      <w:r w:rsidRPr="00381CE7">
        <w:rPr>
          <w:rFonts w:ascii="Cambria" w:eastAsia="Times New Roman" w:hAnsi="Cambria" w:cs="Times New Roman"/>
          <w:color w:val="000000"/>
        </w:rPr>
        <w:t xml:space="preserve"> Participants may feel uncomfortable answering questions about knowledge and understanding of genetic testing. They can choose not to answer questions that make them feel uncomfortable.</w:t>
      </w:r>
    </w:p>
    <w:p w14:paraId="5BEA78B1" w14:textId="77777777" w:rsidR="00A95DF0" w:rsidRPr="00020C67" w:rsidRDefault="00A95DF0" w:rsidP="00020C67">
      <w:pPr>
        <w:spacing w:after="0" w:line="240" w:lineRule="auto"/>
        <w:jc w:val="both"/>
        <w:rPr>
          <w:rFonts w:ascii="Cambria" w:eastAsia="Times New Roman" w:hAnsi="Cambria" w:cs="Times New Roman"/>
        </w:rPr>
      </w:pPr>
    </w:p>
    <w:p w14:paraId="4D25057A"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b/>
          <w:bCs/>
          <w:color w:val="000000"/>
        </w:rPr>
        <w:t>New findings:</w:t>
      </w:r>
      <w:r w:rsidRPr="00381CE7">
        <w:rPr>
          <w:rFonts w:ascii="Cambria" w:eastAsia="Times New Roman" w:hAnsi="Cambria" w:cs="Times New Roman"/>
          <w:color w:val="000000"/>
        </w:rPr>
        <w:t xml:space="preserve"> If we learn any significant new findings during the study that might influence an individual’s decision to participate, we will contact them and explain those findings to them.</w:t>
      </w:r>
    </w:p>
    <w:p w14:paraId="204FF7BB" w14:textId="77777777" w:rsidR="00A95DF0" w:rsidRPr="00020C67" w:rsidRDefault="00A95DF0" w:rsidP="00020C67">
      <w:pPr>
        <w:spacing w:after="0" w:line="240" w:lineRule="auto"/>
        <w:jc w:val="both"/>
        <w:rPr>
          <w:rFonts w:ascii="Cambria" w:eastAsia="Times New Roman" w:hAnsi="Cambria" w:cs="Times New Roman"/>
        </w:rPr>
      </w:pPr>
    </w:p>
    <w:p w14:paraId="36DF95AE" w14:textId="0922AD75"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 xml:space="preserve">VII.b. Potential Benefits to the </w:t>
      </w:r>
      <w:r w:rsidR="00E821EA">
        <w:rPr>
          <w:rFonts w:ascii="Cambria" w:eastAsia="Times New Roman" w:hAnsi="Cambria" w:cs="Times New Roman"/>
          <w:b/>
          <w:bCs/>
          <w:i/>
          <w:iCs/>
          <w:color w:val="000000"/>
        </w:rPr>
        <w:t>Participants</w:t>
      </w:r>
    </w:p>
    <w:p w14:paraId="3A7DF865" w14:textId="7577E084"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There is no guarantee that the subject will get any direct benefit from being in this study. However, we may learn about the </w:t>
      </w:r>
      <w:r w:rsidR="00AC3FF6" w:rsidRPr="00381CE7">
        <w:rPr>
          <w:rFonts w:ascii="Cambria" w:eastAsia="Times New Roman" w:hAnsi="Cambria" w:cs="Times New Roman"/>
          <w:color w:val="000000"/>
        </w:rPr>
        <w:t xml:space="preserve">participant’s </w:t>
      </w:r>
      <w:r w:rsidRPr="00381047">
        <w:rPr>
          <w:rFonts w:ascii="Cambria" w:eastAsia="Times New Roman" w:hAnsi="Cambria" w:cs="Times New Roman"/>
          <w:color w:val="000000"/>
        </w:rPr>
        <w:t xml:space="preserve">diagnosis, which may improve their treatment. Moreover, some may feel benefit from knowing their diagnosis even if it does not improve care </w:t>
      </w:r>
      <w:r w:rsidRPr="00485E38">
        <w:rPr>
          <w:rFonts w:ascii="Cambria" w:eastAsia="Times New Roman" w:hAnsi="Cambria" w:cs="Times New Roman"/>
          <w:i/>
          <w:iCs/>
          <w:color w:val="000000"/>
        </w:rPr>
        <w:t>per se</w:t>
      </w:r>
      <w:r w:rsidRPr="00485E38">
        <w:rPr>
          <w:rFonts w:ascii="Cambria" w:eastAsia="Times New Roman" w:hAnsi="Cambria" w:cs="Times New Roman"/>
          <w:color w:val="000000"/>
        </w:rPr>
        <w:t xml:space="preserve">. There are possible benefits from learning about the </w:t>
      </w:r>
      <w:r w:rsidR="00AC3FF6" w:rsidRPr="00485E38">
        <w:rPr>
          <w:rFonts w:ascii="Cambria" w:eastAsia="Times New Roman" w:hAnsi="Cambria" w:cs="Times New Roman"/>
          <w:color w:val="000000"/>
        </w:rPr>
        <w:t xml:space="preserve">participant or their family members </w:t>
      </w:r>
      <w:r w:rsidRPr="00485E38">
        <w:rPr>
          <w:rFonts w:ascii="Cambria" w:eastAsia="Times New Roman" w:hAnsi="Cambria" w:cs="Times New Roman"/>
          <w:color w:val="000000"/>
        </w:rPr>
        <w:t>secondary findings, such as identifying future disorders that can be prevented or treated. Others might potentially benefit from participation in this study. Understanding genetic diversity can help all people benefit from the genomic medicine. Helping us learn how we can best communicate information about WGS may help individuals who might choose to have WGS in the future. </w:t>
      </w:r>
    </w:p>
    <w:p w14:paraId="0DAF1FC6" w14:textId="77777777" w:rsidR="00A95DF0" w:rsidRPr="00020C67" w:rsidRDefault="00A95DF0" w:rsidP="00020C67">
      <w:pPr>
        <w:spacing w:after="0" w:line="240" w:lineRule="auto"/>
        <w:jc w:val="both"/>
        <w:rPr>
          <w:rFonts w:ascii="Cambria" w:eastAsia="Times New Roman" w:hAnsi="Cambria" w:cs="Times New Roman"/>
        </w:rPr>
      </w:pPr>
    </w:p>
    <w:p w14:paraId="1262A3AF" w14:textId="77777777" w:rsidR="00A95DF0" w:rsidRPr="009D7DDD" w:rsidRDefault="00A95DF0" w:rsidP="00020C67">
      <w:pPr>
        <w:numPr>
          <w:ilvl w:val="0"/>
          <w:numId w:val="17"/>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Data Analysis </w:t>
      </w:r>
    </w:p>
    <w:p w14:paraId="6D2E1F41" w14:textId="366F0E3B" w:rsidR="00A95DF0" w:rsidRPr="00020C67" w:rsidRDefault="00A95DF0" w:rsidP="00020C67">
      <w:pPr>
        <w:spacing w:after="0" w:line="240" w:lineRule="auto"/>
        <w:jc w:val="both"/>
        <w:rPr>
          <w:rFonts w:ascii="Cambria" w:eastAsia="Times New Roman" w:hAnsi="Cambria" w:cs="Times New Roman"/>
        </w:rPr>
      </w:pPr>
      <w:r w:rsidRPr="00381CE7">
        <w:rPr>
          <w:rFonts w:ascii="Cambria" w:eastAsia="Times New Roman" w:hAnsi="Cambria" w:cs="Times New Roman"/>
          <w:color w:val="000000"/>
        </w:rPr>
        <w:t xml:space="preserve">The analysis team will be led by the project PI and will include interviewers, statisticians, computational genomicists and members of the clinical research team (all key personnel in </w:t>
      </w:r>
      <w:r w:rsidR="00B1673B" w:rsidRPr="00381047">
        <w:rPr>
          <w:rFonts w:ascii="Cambria" w:eastAsia="Times New Roman" w:hAnsi="Cambria" w:cs="Times New Roman"/>
          <w:color w:val="000000"/>
        </w:rPr>
        <w:t>Tele</w:t>
      </w:r>
      <w:r w:rsidRPr="00381047">
        <w:rPr>
          <w:rFonts w:ascii="Cambria" w:eastAsia="Times New Roman" w:hAnsi="Cambria" w:cs="Times New Roman"/>
          <w:color w:val="000000"/>
        </w:rPr>
        <w:t xml:space="preserve">KidSeq </w:t>
      </w:r>
      <w:r w:rsidR="008A1F60" w:rsidRPr="00485E38">
        <w:rPr>
          <w:rFonts w:ascii="Cambria" w:eastAsia="Times New Roman" w:hAnsi="Cambria" w:cs="Times New Roman"/>
          <w:color w:val="000000"/>
        </w:rPr>
        <w:t xml:space="preserve">are </w:t>
      </w:r>
      <w:r w:rsidRPr="00485E38">
        <w:rPr>
          <w:rFonts w:ascii="Cambria" w:eastAsia="Times New Roman" w:hAnsi="Cambria" w:cs="Times New Roman"/>
          <w:color w:val="000000"/>
        </w:rPr>
        <w:t>CITI credentialed). </w:t>
      </w:r>
    </w:p>
    <w:p w14:paraId="1D71E0AC" w14:textId="77777777" w:rsidR="00A95DF0" w:rsidRPr="00020C67" w:rsidRDefault="00A95DF0" w:rsidP="00020C67">
      <w:pPr>
        <w:spacing w:after="0" w:line="240" w:lineRule="auto"/>
        <w:jc w:val="both"/>
        <w:rPr>
          <w:rFonts w:ascii="Cambria" w:eastAsia="Times New Roman" w:hAnsi="Cambria" w:cs="Times New Roman"/>
        </w:rPr>
      </w:pPr>
    </w:p>
    <w:p w14:paraId="34C4FB3B" w14:textId="25CEA90D"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Descriptive statistics will be calculated for quantitative survey instruments in the baseline, ROR1 and ROR2 surveys. In the case of missing data, when survey measures contain summary scores, a mean score will be calculated ba</w:t>
      </w:r>
      <w:r w:rsidRPr="00381CE7">
        <w:rPr>
          <w:rFonts w:ascii="Cambria" w:eastAsia="Times New Roman" w:hAnsi="Cambria" w:cs="Times New Roman"/>
          <w:color w:val="000000"/>
        </w:rPr>
        <w:t>sed on the responses provided. We will adjust for covariates, including age, sex, and race/ethnicity where appropriate.</w:t>
      </w:r>
      <w:r w:rsidRPr="00485E38">
        <w:rPr>
          <w:rFonts w:ascii="Cambria" w:eastAsia="Times New Roman" w:hAnsi="Cambria" w:cs="Times New Roman"/>
          <w:color w:val="000000"/>
        </w:rPr>
        <w:t xml:space="preserve"> Repeated measures of analyses of variance (ANOVAs), chi-squared test or regression models will be fit to the data in a simple paired design (</w:t>
      </w:r>
      <w:r w:rsidR="00AC3FF6" w:rsidRPr="00485E38">
        <w:rPr>
          <w:rFonts w:ascii="Cambria" w:eastAsia="Times New Roman" w:hAnsi="Cambria" w:cs="Times New Roman"/>
          <w:color w:val="000000"/>
        </w:rPr>
        <w:t>n=248</w:t>
      </w:r>
      <w:r w:rsidRPr="00485E38">
        <w:rPr>
          <w:rFonts w:ascii="Cambria" w:eastAsia="Times New Roman" w:hAnsi="Cambria" w:cs="Times New Roman"/>
          <w:color w:val="000000"/>
        </w:rPr>
        <w:t xml:space="preserve"> </w:t>
      </w:r>
      <w:r w:rsidR="00AC3FF6" w:rsidRPr="00485E38">
        <w:rPr>
          <w:rFonts w:ascii="Cambria" w:eastAsia="Times New Roman" w:hAnsi="Cambria" w:cs="Times New Roman"/>
          <w:color w:val="000000"/>
        </w:rPr>
        <w:t>i</w:t>
      </w:r>
      <w:r w:rsidRPr="00485E38">
        <w:rPr>
          <w:rFonts w:ascii="Cambria" w:eastAsia="Times New Roman" w:hAnsi="Cambria" w:cs="Times New Roman"/>
          <w:color w:val="000000"/>
        </w:rPr>
        <w:t xml:space="preserve">n each arm) to assess and identify significant improvements in parental understanding, satisfaction, and feelings about the results, and their subsequent behavior in the </w:t>
      </w:r>
      <w:r w:rsidR="006F66F3" w:rsidRPr="00485E38">
        <w:rPr>
          <w:rFonts w:ascii="Cambria" w:eastAsia="Times New Roman" w:hAnsi="Cambria" w:cs="Times New Roman"/>
          <w:color w:val="000000"/>
        </w:rPr>
        <w:t>screen-share</w:t>
      </w:r>
      <w:r w:rsidRPr="00485E38">
        <w:rPr>
          <w:rFonts w:ascii="Cambria" w:eastAsia="Times New Roman" w:hAnsi="Cambria" w:cs="Times New Roman"/>
          <w:color w:val="000000"/>
        </w:rPr>
        <w:t xml:space="preserve"> group vs</w:t>
      </w:r>
      <w:r w:rsidR="006F66F3" w:rsidRPr="00485E38">
        <w:rPr>
          <w:rFonts w:ascii="Cambria" w:eastAsia="Times New Roman" w:hAnsi="Cambria" w:cs="Times New Roman"/>
          <w:color w:val="000000"/>
        </w:rPr>
        <w:t>.</w:t>
      </w:r>
      <w:r w:rsidRPr="00485E38">
        <w:rPr>
          <w:rFonts w:ascii="Cambria" w:eastAsia="Times New Roman" w:hAnsi="Cambria" w:cs="Times New Roman"/>
          <w:color w:val="000000"/>
        </w:rPr>
        <w:t xml:space="preserve"> </w:t>
      </w:r>
      <w:r w:rsidR="006F66F3" w:rsidRPr="00485E38">
        <w:rPr>
          <w:rFonts w:ascii="Cambria" w:eastAsia="Times New Roman" w:hAnsi="Cambria" w:cs="Times New Roman"/>
          <w:color w:val="000000"/>
        </w:rPr>
        <w:t xml:space="preserve">non-screen-share </w:t>
      </w:r>
      <w:r w:rsidRPr="00485E38">
        <w:rPr>
          <w:rFonts w:ascii="Cambria" w:eastAsia="Times New Roman" w:hAnsi="Cambria" w:cs="Times New Roman"/>
          <w:color w:val="000000"/>
        </w:rPr>
        <w:t>group. A statistical significance criterion of p&lt; 0.05 will be used for all analysis.</w:t>
      </w:r>
    </w:p>
    <w:p w14:paraId="743A7034" w14:textId="77777777" w:rsidR="00A95DF0" w:rsidRPr="00020C67" w:rsidRDefault="00A95DF0" w:rsidP="00020C67">
      <w:pPr>
        <w:spacing w:after="0" w:line="240" w:lineRule="auto"/>
        <w:jc w:val="both"/>
        <w:rPr>
          <w:rFonts w:ascii="Cambria" w:eastAsia="Times New Roman" w:hAnsi="Cambria" w:cs="Times New Roman"/>
        </w:rPr>
      </w:pPr>
    </w:p>
    <w:p w14:paraId="00EF75DA" w14:textId="77777777" w:rsidR="00A95DF0" w:rsidRPr="009D7DDD" w:rsidRDefault="00A95DF0" w:rsidP="00020C67">
      <w:pPr>
        <w:numPr>
          <w:ilvl w:val="0"/>
          <w:numId w:val="18"/>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Study Monitoring</w:t>
      </w:r>
    </w:p>
    <w:p w14:paraId="7D88E284" w14:textId="77777777" w:rsidR="00A95DF0" w:rsidRPr="00020C67" w:rsidRDefault="00A95DF0" w:rsidP="00020C67">
      <w:pPr>
        <w:spacing w:after="120" w:line="240" w:lineRule="auto"/>
        <w:jc w:val="both"/>
        <w:rPr>
          <w:rFonts w:ascii="Cambria" w:eastAsia="Times New Roman" w:hAnsi="Cambria" w:cs="Times New Roman"/>
        </w:rPr>
      </w:pPr>
      <w:r w:rsidRPr="00381CE7">
        <w:rPr>
          <w:rFonts w:ascii="Cambria" w:eastAsia="Times New Roman" w:hAnsi="Cambria" w:cs="Times New Roman"/>
          <w:b/>
          <w:bCs/>
          <w:i/>
          <w:iCs/>
          <w:color w:val="000000"/>
        </w:rPr>
        <w:t>IX.a. Study operating procedures</w:t>
      </w:r>
    </w:p>
    <w:p w14:paraId="0766D63F" w14:textId="3599E83C" w:rsidR="00A95DF0" w:rsidRPr="00020C67" w:rsidRDefault="00A95DF0" w:rsidP="00020C67">
      <w:pPr>
        <w:spacing w:after="0" w:line="240" w:lineRule="auto"/>
        <w:ind w:left="360"/>
        <w:jc w:val="both"/>
        <w:rPr>
          <w:rFonts w:ascii="Cambria" w:eastAsia="Times New Roman" w:hAnsi="Cambria" w:cs="Times New Roman"/>
        </w:rPr>
      </w:pPr>
      <w:r w:rsidRPr="009D7DDD">
        <w:rPr>
          <w:rFonts w:ascii="Cambria" w:eastAsia="Times New Roman" w:hAnsi="Cambria" w:cs="Times New Roman"/>
          <w:color w:val="000000"/>
        </w:rPr>
        <w:lastRenderedPageBreak/>
        <w:t>Appendices a-</w:t>
      </w:r>
      <w:r w:rsidR="00020C67">
        <w:rPr>
          <w:rFonts w:ascii="Cambria" w:eastAsia="Times New Roman" w:hAnsi="Cambria" w:cs="Times New Roman"/>
          <w:color w:val="000000"/>
        </w:rPr>
        <w:t>y</w:t>
      </w:r>
      <w:r w:rsidRPr="009D7DDD">
        <w:rPr>
          <w:rFonts w:ascii="Cambria" w:eastAsia="Times New Roman" w:hAnsi="Cambria" w:cs="Times New Roman"/>
          <w:color w:val="000000"/>
        </w:rPr>
        <w:t xml:space="preserve"> includes:</w:t>
      </w:r>
    </w:p>
    <w:p w14:paraId="0F35EA4F" w14:textId="77777777" w:rsidR="00A95DF0" w:rsidRPr="00020C67" w:rsidRDefault="00A95DF0" w:rsidP="00020C67">
      <w:pPr>
        <w:numPr>
          <w:ilvl w:val="1"/>
          <w:numId w:val="19"/>
        </w:numPr>
        <w:spacing w:before="120" w:after="100" w:line="240" w:lineRule="auto"/>
        <w:ind w:left="1800"/>
        <w:jc w:val="both"/>
        <w:textAlignment w:val="baseline"/>
        <w:rPr>
          <w:rFonts w:ascii="Cambria" w:eastAsia="Times New Roman" w:hAnsi="Cambria" w:cs="Courier New"/>
          <w:color w:val="000000"/>
        </w:rPr>
      </w:pPr>
      <w:r w:rsidRPr="009D7DDD">
        <w:rPr>
          <w:rFonts w:ascii="Cambria" w:eastAsia="Times New Roman" w:hAnsi="Cambria" w:cs="Courier New"/>
          <w:color w:val="000000"/>
        </w:rPr>
        <w:t>Training materials and manual for recruiters that will delivered by the project manager, including all study protocols, backgro</w:t>
      </w:r>
      <w:r w:rsidRPr="00381CE7">
        <w:rPr>
          <w:rFonts w:ascii="Cambria" w:eastAsia="Times New Roman" w:hAnsi="Cambria" w:cs="Courier New"/>
          <w:color w:val="000000"/>
        </w:rPr>
        <w:t>und on genomics and the clinical conditions under study, use of REDCap, consent, recruitment, survey and retentio</w:t>
      </w:r>
      <w:r w:rsidRPr="00485E38">
        <w:rPr>
          <w:rFonts w:ascii="Cambria" w:eastAsia="Times New Roman" w:hAnsi="Cambria" w:cs="Courier New"/>
          <w:color w:val="000000"/>
        </w:rPr>
        <w:t>n techniques. The CRCs will be observed in role plays for all study aspects (</w:t>
      </w:r>
      <w:r w:rsidRPr="00485E38">
        <w:rPr>
          <w:rFonts w:ascii="Cambria" w:eastAsia="Times New Roman" w:hAnsi="Cambria" w:cs="Courier New"/>
          <w:i/>
          <w:color w:val="000000"/>
        </w:rPr>
        <w:t>i.e</w:t>
      </w:r>
      <w:r w:rsidRPr="00485E38">
        <w:rPr>
          <w:rFonts w:ascii="Cambria" w:eastAsia="Times New Roman" w:hAnsi="Cambria" w:cs="Courier New"/>
          <w:color w:val="000000"/>
        </w:rPr>
        <w:t>., responding to common reasons for study resistance, mistakes obtaining surveys) until they are functioning confidently and accurately.</w:t>
      </w:r>
    </w:p>
    <w:p w14:paraId="226A8DC0" w14:textId="77777777" w:rsidR="00A95DF0" w:rsidRPr="00020C67" w:rsidRDefault="00A95DF0" w:rsidP="00020C67">
      <w:pPr>
        <w:numPr>
          <w:ilvl w:val="1"/>
          <w:numId w:val="19"/>
        </w:numPr>
        <w:spacing w:before="120" w:after="100" w:line="240" w:lineRule="auto"/>
        <w:ind w:left="1800"/>
        <w:jc w:val="both"/>
        <w:textAlignment w:val="baseline"/>
        <w:rPr>
          <w:rFonts w:ascii="Cambria" w:eastAsia="Times New Roman" w:hAnsi="Cambria" w:cs="Courier New"/>
          <w:color w:val="000000"/>
        </w:rPr>
      </w:pPr>
      <w:r w:rsidRPr="009D7DDD">
        <w:rPr>
          <w:rFonts w:ascii="Cambria" w:eastAsia="Times New Roman" w:hAnsi="Cambria" w:cs="Courier New"/>
          <w:color w:val="000000"/>
        </w:rPr>
        <w:t>Patient/family and clinician surveys with data dictionaries and references</w:t>
      </w:r>
    </w:p>
    <w:p w14:paraId="6CCCC94D" w14:textId="04382CEC" w:rsidR="00A95DF0" w:rsidRPr="00020C67" w:rsidRDefault="00A95DF0" w:rsidP="00020C67">
      <w:pPr>
        <w:numPr>
          <w:ilvl w:val="1"/>
          <w:numId w:val="19"/>
        </w:numPr>
        <w:spacing w:before="120" w:after="100" w:line="240" w:lineRule="auto"/>
        <w:ind w:left="1800"/>
        <w:jc w:val="both"/>
        <w:textAlignment w:val="baseline"/>
        <w:rPr>
          <w:rFonts w:ascii="Cambria" w:eastAsia="Times New Roman" w:hAnsi="Cambria" w:cs="Courier New"/>
          <w:color w:val="000000"/>
        </w:rPr>
      </w:pPr>
      <w:r w:rsidRPr="009D7DDD">
        <w:rPr>
          <w:rFonts w:ascii="Cambria" w:eastAsia="Times New Roman" w:hAnsi="Cambria" w:cs="Courier New"/>
          <w:color w:val="000000"/>
        </w:rPr>
        <w:t>Training materials for physicians detailing a communication plan for referral within their practice, bullet</w:t>
      </w:r>
      <w:r w:rsidRPr="00381CE7">
        <w:rPr>
          <w:rFonts w:ascii="Cambria" w:eastAsia="Times New Roman" w:hAnsi="Cambria" w:cs="Courier New"/>
          <w:color w:val="000000"/>
        </w:rPr>
        <w:t xml:space="preserve">ed recruitment scripts, the phenotype checklist, and options about return of results. </w:t>
      </w:r>
      <w:r w:rsidR="00AC3FF6" w:rsidRPr="00381047">
        <w:rPr>
          <w:rFonts w:ascii="Cambria" w:eastAsia="Times New Roman" w:hAnsi="Cambria" w:cs="Courier New"/>
          <w:color w:val="000000"/>
        </w:rPr>
        <w:t>GC</w:t>
      </w:r>
      <w:r w:rsidRPr="00381047">
        <w:rPr>
          <w:rFonts w:ascii="Cambria" w:eastAsia="Times New Roman" w:hAnsi="Cambria" w:cs="Courier New"/>
          <w:color w:val="000000"/>
        </w:rPr>
        <w:t xml:space="preserve"> trainin</w:t>
      </w:r>
      <w:r w:rsidRPr="00485E38">
        <w:rPr>
          <w:rFonts w:ascii="Cambria" w:eastAsia="Times New Roman" w:hAnsi="Cambria" w:cs="Courier New"/>
          <w:color w:val="000000"/>
        </w:rPr>
        <w:t>g with study information, and opportunities to practice consenting, pre-test and post-test counseling.  </w:t>
      </w:r>
    </w:p>
    <w:p w14:paraId="770E44EC" w14:textId="6FE6866A" w:rsidR="00F9773F" w:rsidRPr="00020C67" w:rsidRDefault="00F9773F" w:rsidP="00020C67">
      <w:pPr>
        <w:numPr>
          <w:ilvl w:val="1"/>
          <w:numId w:val="19"/>
        </w:numPr>
        <w:spacing w:before="120" w:after="100" w:line="240" w:lineRule="auto"/>
        <w:ind w:left="1800"/>
        <w:jc w:val="both"/>
        <w:textAlignment w:val="baseline"/>
        <w:rPr>
          <w:rFonts w:ascii="Cambria" w:eastAsia="Times New Roman" w:hAnsi="Cambria" w:cs="Courier New"/>
          <w:color w:val="000000"/>
        </w:rPr>
      </w:pPr>
      <w:r w:rsidRPr="009D7DDD">
        <w:rPr>
          <w:rFonts w:ascii="Cambria" w:eastAsia="Times New Roman" w:hAnsi="Cambria" w:cs="Courier New"/>
          <w:color w:val="000000"/>
        </w:rPr>
        <w:t xml:space="preserve">CRC </w:t>
      </w:r>
      <w:r w:rsidR="00A56145" w:rsidRPr="00381CE7">
        <w:rPr>
          <w:rFonts w:ascii="Cambria" w:eastAsia="Times New Roman" w:hAnsi="Cambria" w:cs="Courier New"/>
          <w:color w:val="000000"/>
        </w:rPr>
        <w:t>Phone Script: includes Telehealth Access &amp; Sample Collection Screener</w:t>
      </w:r>
    </w:p>
    <w:p w14:paraId="7977177A" w14:textId="48A85494" w:rsidR="00894EF6" w:rsidRPr="00020C67" w:rsidRDefault="00995E0A" w:rsidP="00020C67">
      <w:pPr>
        <w:numPr>
          <w:ilvl w:val="1"/>
          <w:numId w:val="19"/>
        </w:numPr>
        <w:spacing w:before="120" w:after="100" w:line="240" w:lineRule="auto"/>
        <w:ind w:left="1800"/>
        <w:jc w:val="both"/>
        <w:textAlignment w:val="baseline"/>
        <w:rPr>
          <w:rFonts w:ascii="Cambria" w:eastAsia="Times New Roman" w:hAnsi="Cambria" w:cs="Courier New"/>
          <w:color w:val="000000"/>
        </w:rPr>
      </w:pPr>
      <w:r w:rsidRPr="009D7DDD">
        <w:rPr>
          <w:rFonts w:ascii="Cambria" w:eastAsia="Times New Roman" w:hAnsi="Cambria" w:cs="Courier New"/>
          <w:color w:val="000000"/>
        </w:rPr>
        <w:t xml:space="preserve">Advertisement </w:t>
      </w:r>
      <w:r w:rsidR="00894EF6" w:rsidRPr="00381CE7">
        <w:rPr>
          <w:rFonts w:ascii="Cambria" w:eastAsia="Times New Roman" w:hAnsi="Cambria" w:cs="Courier New"/>
          <w:color w:val="000000"/>
        </w:rPr>
        <w:t xml:space="preserve">to </w:t>
      </w:r>
      <w:r w:rsidRPr="00381CE7">
        <w:rPr>
          <w:rFonts w:ascii="Cambria" w:eastAsia="Times New Roman" w:hAnsi="Cambria" w:cs="Courier New"/>
          <w:color w:val="000000"/>
        </w:rPr>
        <w:t>External</w:t>
      </w:r>
      <w:r w:rsidR="00894EF6" w:rsidRPr="00381047">
        <w:rPr>
          <w:rFonts w:ascii="Cambria" w:eastAsia="Times New Roman" w:hAnsi="Cambria" w:cs="Courier New"/>
          <w:color w:val="000000"/>
        </w:rPr>
        <w:t xml:space="preserve"> (non</w:t>
      </w:r>
      <w:r w:rsidRPr="00381047">
        <w:rPr>
          <w:rFonts w:ascii="Cambria" w:eastAsia="Times New Roman" w:hAnsi="Cambria" w:cs="Courier New"/>
          <w:color w:val="000000"/>
        </w:rPr>
        <w:t>-</w:t>
      </w:r>
      <w:r w:rsidR="00894EF6" w:rsidRPr="00485E38">
        <w:rPr>
          <w:rFonts w:ascii="Cambria" w:eastAsia="Times New Roman" w:hAnsi="Cambria" w:cs="Courier New"/>
          <w:color w:val="000000"/>
        </w:rPr>
        <w:t>EM/non</w:t>
      </w:r>
      <w:r w:rsidRPr="00485E38">
        <w:rPr>
          <w:rFonts w:ascii="Cambria" w:eastAsia="Times New Roman" w:hAnsi="Cambria" w:cs="Courier New"/>
          <w:color w:val="000000"/>
        </w:rPr>
        <w:t>-</w:t>
      </w:r>
      <w:r w:rsidR="00894EF6" w:rsidRPr="00485E38">
        <w:rPr>
          <w:rFonts w:ascii="Cambria" w:eastAsia="Times New Roman" w:hAnsi="Cambria" w:cs="Courier New"/>
          <w:color w:val="000000"/>
        </w:rPr>
        <w:t>MS) H</w:t>
      </w:r>
      <w:r w:rsidR="006E697E" w:rsidRPr="00485E38">
        <w:rPr>
          <w:rFonts w:ascii="Cambria" w:eastAsia="Times New Roman" w:hAnsi="Cambria" w:cs="Courier New"/>
          <w:color w:val="000000"/>
        </w:rPr>
        <w:t>ealthcare Providers</w:t>
      </w:r>
    </w:p>
    <w:p w14:paraId="68CCAC5D"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i/>
          <w:iCs/>
          <w:color w:val="000000"/>
        </w:rPr>
        <w:t>I</w:t>
      </w:r>
      <w:r w:rsidRPr="00381CE7">
        <w:rPr>
          <w:rFonts w:ascii="Cambria" w:eastAsia="Times New Roman" w:hAnsi="Cambria" w:cs="Times New Roman"/>
          <w:b/>
          <w:bCs/>
          <w:i/>
          <w:iCs/>
          <w:color w:val="000000"/>
        </w:rPr>
        <w:t>X.b. Database</w:t>
      </w:r>
    </w:p>
    <w:p w14:paraId="0EFD4E2B"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Data will be entered and stored in a REDCap database to track and monitor patients. The database was adapted from the data dictionary from the G</w:t>
      </w:r>
      <w:r w:rsidRPr="00381CE7">
        <w:rPr>
          <w:rFonts w:ascii="Cambria" w:eastAsia="Times New Roman" w:hAnsi="Cambria" w:cs="Times New Roman"/>
          <w:color w:val="000000"/>
        </w:rPr>
        <w:t xml:space="preserve">UARDD study to include MRNs and patient IDs, inclusion criteria, baseline, 3- and 9-month patient contact logs </w:t>
      </w:r>
      <w:r w:rsidRPr="00485E38">
        <w:rPr>
          <w:rFonts w:ascii="Cambria" w:eastAsia="Times New Roman" w:hAnsi="Cambria" w:cs="Times New Roman"/>
          <w:color w:val="000000"/>
        </w:rPr>
        <w:t>and surveys, calendar and reminder functions, and ability for recruiters, managers and investigators to track workflow and perform queries to assess the status of patients (i.e., who is outstanding for a 3-month ROR1 visit).</w:t>
      </w:r>
    </w:p>
    <w:p w14:paraId="26AC8E0E" w14:textId="77777777" w:rsidR="00A95DF0" w:rsidRPr="00020C67" w:rsidRDefault="00A95DF0" w:rsidP="00020C67">
      <w:pPr>
        <w:spacing w:after="0" w:line="240" w:lineRule="auto"/>
        <w:jc w:val="both"/>
        <w:rPr>
          <w:rFonts w:ascii="Cambria" w:eastAsia="Times New Roman" w:hAnsi="Cambria" w:cs="Times New Roman"/>
        </w:rPr>
      </w:pPr>
    </w:p>
    <w:p w14:paraId="44D27F09"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IX.c. Data and Safety Monitoring</w:t>
      </w:r>
    </w:p>
    <w:p w14:paraId="5A604ED7" w14:textId="46123AB8"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As this is a non-interventional study, there will not be a separate Data Safety Monitoring Board. However, the weekly phone calls, led by Drs.</w:t>
      </w:r>
      <w:r w:rsidRPr="00381CE7">
        <w:rPr>
          <w:rFonts w:ascii="Cambria" w:eastAsia="Times New Roman" w:hAnsi="Cambria" w:cs="Times New Roman"/>
          <w:color w:val="000000"/>
        </w:rPr>
        <w:t xml:space="preserve"> Wasserstein and Kenny </w:t>
      </w:r>
      <w:r w:rsidR="009D7DDD" w:rsidRPr="00381CE7">
        <w:rPr>
          <w:rFonts w:ascii="Cambria" w:eastAsia="Times New Roman" w:hAnsi="Cambria" w:cs="Times New Roman"/>
          <w:color w:val="000000"/>
        </w:rPr>
        <w:t xml:space="preserve">with the other study PIs </w:t>
      </w:r>
      <w:r w:rsidRPr="00381047">
        <w:rPr>
          <w:rFonts w:ascii="Cambria" w:eastAsia="Times New Roman" w:hAnsi="Cambria" w:cs="Times New Roman"/>
          <w:color w:val="000000"/>
        </w:rPr>
        <w:t>will address any questions/concerns raised by families, parents</w:t>
      </w:r>
      <w:r w:rsidRPr="00485E38">
        <w:rPr>
          <w:rFonts w:ascii="Cambria" w:eastAsia="Times New Roman" w:hAnsi="Cambria" w:cs="Times New Roman"/>
          <w:color w:val="000000"/>
        </w:rPr>
        <w:t>, or study personnel. Additionally, they will review all data at their respective sites with the appropriate study personnel to ensure completeness and accuracy. </w:t>
      </w:r>
    </w:p>
    <w:p w14:paraId="3BBD6E64" w14:textId="77777777" w:rsidR="00A95DF0" w:rsidRPr="00020C67" w:rsidRDefault="00A95DF0" w:rsidP="00020C67">
      <w:pPr>
        <w:spacing w:after="0" w:line="240" w:lineRule="auto"/>
        <w:jc w:val="both"/>
        <w:rPr>
          <w:rFonts w:ascii="Cambria" w:eastAsia="Times New Roman" w:hAnsi="Cambria" w:cs="Times New Roman"/>
        </w:rPr>
      </w:pPr>
    </w:p>
    <w:p w14:paraId="6D40B576" w14:textId="77777777" w:rsidR="00A95DF0" w:rsidRPr="00381CE7" w:rsidRDefault="00A95DF0" w:rsidP="00020C67">
      <w:pPr>
        <w:numPr>
          <w:ilvl w:val="0"/>
          <w:numId w:val="20"/>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Privac</w:t>
      </w:r>
      <w:r w:rsidRPr="00381CE7">
        <w:rPr>
          <w:rFonts w:ascii="Cambria" w:eastAsia="Times New Roman" w:hAnsi="Cambria" w:cs="Times New Roman"/>
          <w:b/>
          <w:bCs/>
          <w:color w:val="000000"/>
        </w:rPr>
        <w:t>y and Data Sharing</w:t>
      </w:r>
    </w:p>
    <w:p w14:paraId="667E667A" w14:textId="77777777" w:rsidR="00A95DF0" w:rsidRPr="00020C67" w:rsidRDefault="00A95DF0" w:rsidP="00020C67">
      <w:pPr>
        <w:spacing w:after="120" w:line="240" w:lineRule="auto"/>
        <w:jc w:val="both"/>
        <w:rPr>
          <w:rFonts w:ascii="Cambria" w:eastAsia="Times New Roman" w:hAnsi="Cambria" w:cs="Times New Roman"/>
        </w:rPr>
      </w:pPr>
      <w:r w:rsidRPr="00381CE7">
        <w:rPr>
          <w:rFonts w:ascii="Cambria" w:eastAsia="Times New Roman" w:hAnsi="Cambria" w:cs="Times New Roman"/>
          <w:b/>
          <w:bCs/>
          <w:i/>
          <w:iCs/>
          <w:color w:val="000000"/>
        </w:rPr>
        <w:t>X.a. Sharing Results with Subjects</w:t>
      </w:r>
    </w:p>
    <w:p w14:paraId="1A2E44D8" w14:textId="3AACA45B"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The purpose of this NIH-funded study is to assess the clinical utility of genomic sequencing. Therefore, the results of </w:t>
      </w:r>
      <w:r w:rsidR="009D7DDD" w:rsidRPr="00381CE7">
        <w:rPr>
          <w:rFonts w:ascii="Cambria" w:eastAsia="Times New Roman" w:hAnsi="Cambria" w:cs="Times New Roman"/>
          <w:color w:val="000000"/>
        </w:rPr>
        <w:t>WGS</w:t>
      </w:r>
      <w:r w:rsidRPr="00381047">
        <w:rPr>
          <w:rFonts w:ascii="Cambria" w:eastAsia="Times New Roman" w:hAnsi="Cambria" w:cs="Times New Roman"/>
          <w:color w:val="000000"/>
        </w:rPr>
        <w:t xml:space="preserve"> will be disclosed to the </w:t>
      </w:r>
      <w:r w:rsidR="009D7DDD" w:rsidRPr="00485E38">
        <w:rPr>
          <w:rFonts w:ascii="Cambria" w:eastAsia="Times New Roman" w:hAnsi="Cambria" w:cs="Times New Roman"/>
          <w:color w:val="000000"/>
        </w:rPr>
        <w:t>participants</w:t>
      </w:r>
      <w:r w:rsidRPr="00485E38">
        <w:rPr>
          <w:rFonts w:ascii="Cambria" w:eastAsia="Times New Roman" w:hAnsi="Cambria" w:cs="Times New Roman"/>
          <w:color w:val="000000"/>
        </w:rPr>
        <w:t xml:space="preserve">. Pre-testing counseling will be done by a </w:t>
      </w:r>
      <w:r w:rsidR="009D7DDD" w:rsidRPr="00485E38">
        <w:rPr>
          <w:rFonts w:ascii="Cambria" w:eastAsia="Times New Roman" w:hAnsi="Cambria" w:cs="Times New Roman"/>
          <w:color w:val="000000"/>
        </w:rPr>
        <w:t>GC</w:t>
      </w:r>
      <w:r w:rsidRPr="00485E38">
        <w:rPr>
          <w:rFonts w:ascii="Cambria" w:eastAsia="Times New Roman" w:hAnsi="Cambria" w:cs="Times New Roman"/>
          <w:color w:val="000000"/>
        </w:rPr>
        <w:t xml:space="preserve"> and will include </w:t>
      </w:r>
      <w:r w:rsidR="009D7DDD" w:rsidRPr="00485E38">
        <w:rPr>
          <w:rFonts w:ascii="Cambria" w:eastAsia="Times New Roman" w:hAnsi="Cambria" w:cs="Times New Roman"/>
          <w:color w:val="000000"/>
        </w:rPr>
        <w:t xml:space="preserve">participants </w:t>
      </w:r>
      <w:r w:rsidRPr="00485E38">
        <w:rPr>
          <w:rFonts w:ascii="Cambria" w:eastAsia="Times New Roman" w:hAnsi="Cambria" w:cs="Times New Roman"/>
          <w:color w:val="000000"/>
        </w:rPr>
        <w:t xml:space="preserve">preferences with regards to returning secondary findings. Results will be returned by the </w:t>
      </w:r>
      <w:r w:rsidR="009D7DDD" w:rsidRPr="00485E38">
        <w:rPr>
          <w:rFonts w:ascii="Cambria" w:eastAsia="Times New Roman" w:hAnsi="Cambria" w:cs="Times New Roman"/>
          <w:color w:val="000000"/>
        </w:rPr>
        <w:t xml:space="preserve">GC </w:t>
      </w:r>
      <w:r w:rsidRPr="00485E38">
        <w:rPr>
          <w:rFonts w:ascii="Cambria" w:eastAsia="Times New Roman" w:hAnsi="Cambria" w:cs="Times New Roman"/>
          <w:color w:val="000000"/>
        </w:rPr>
        <w:t xml:space="preserve">during the ROR1 visit, and </w:t>
      </w:r>
      <w:r w:rsidR="009D7DDD" w:rsidRPr="00485E38">
        <w:rPr>
          <w:rFonts w:ascii="Cambria" w:eastAsia="Times New Roman" w:hAnsi="Cambria" w:cs="Times New Roman"/>
          <w:color w:val="000000"/>
        </w:rPr>
        <w:t>participants</w:t>
      </w:r>
      <w:r w:rsidRPr="00485E38">
        <w:rPr>
          <w:rFonts w:ascii="Cambria" w:eastAsia="Times New Roman" w:hAnsi="Cambria" w:cs="Times New Roman"/>
          <w:color w:val="000000"/>
        </w:rPr>
        <w:t xml:space="preserve"> will have a ROR2 visit approximately six months after the return of results. If a study or referring physician feels that a change in the patient’s phenotype prompts a re-analysis, a request will be placed with the clinical laborator</w:t>
      </w:r>
      <w:r w:rsidR="008A3D62" w:rsidRPr="00485E38">
        <w:rPr>
          <w:rFonts w:ascii="Cambria" w:eastAsia="Times New Roman" w:hAnsi="Cambria" w:cs="Times New Roman"/>
          <w:color w:val="000000"/>
        </w:rPr>
        <w:t>y</w:t>
      </w:r>
      <w:r w:rsidRPr="00485E38">
        <w:rPr>
          <w:rFonts w:ascii="Cambria" w:eastAsia="Times New Roman" w:hAnsi="Cambria" w:cs="Times New Roman"/>
          <w:color w:val="000000"/>
        </w:rPr>
        <w:t xml:space="preserve"> with these additional filters. </w:t>
      </w:r>
    </w:p>
    <w:p w14:paraId="7C13C2DE" w14:textId="77777777" w:rsidR="00A95DF0" w:rsidRPr="00020C67" w:rsidRDefault="00A95DF0" w:rsidP="00020C67">
      <w:pPr>
        <w:spacing w:after="0" w:line="240" w:lineRule="auto"/>
        <w:jc w:val="both"/>
        <w:rPr>
          <w:rFonts w:ascii="Cambria" w:eastAsia="Times New Roman" w:hAnsi="Cambria" w:cs="Times New Roman"/>
        </w:rPr>
      </w:pPr>
    </w:p>
    <w:p w14:paraId="1D27CBE4"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X</w:t>
      </w:r>
      <w:r w:rsidRPr="00381CE7">
        <w:rPr>
          <w:rFonts w:ascii="Cambria" w:eastAsia="Times New Roman" w:hAnsi="Cambria" w:cs="Times New Roman"/>
          <w:b/>
          <w:bCs/>
          <w:i/>
          <w:iCs/>
          <w:color w:val="000000"/>
        </w:rPr>
        <w:t xml:space="preserve">.b. </w:t>
      </w:r>
      <w:r w:rsidRPr="00381CE7">
        <w:rPr>
          <w:rFonts w:ascii="Cambria" w:eastAsia="Times New Roman" w:hAnsi="Cambria" w:cs="Times New Roman"/>
          <w:b/>
          <w:bCs/>
          <w:color w:val="000000"/>
        </w:rPr>
        <w:t>Information and Specimen Banking</w:t>
      </w:r>
    </w:p>
    <w:p w14:paraId="1AC5AC71" w14:textId="17A14C83"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If participants consent to part in this study, they are voluntarily agreeing to the indefinite storage of their and their child’s blood and sequencing information by the research study, including </w:t>
      </w:r>
      <w:r w:rsidR="00B1673B" w:rsidRPr="00381CE7">
        <w:rPr>
          <w:rFonts w:ascii="Cambria" w:eastAsia="Times New Roman" w:hAnsi="Cambria" w:cs="Times New Roman"/>
          <w:color w:val="000000"/>
        </w:rPr>
        <w:t>Tele</w:t>
      </w:r>
      <w:r w:rsidRPr="00381CE7">
        <w:rPr>
          <w:rFonts w:ascii="Cambria" w:eastAsia="Times New Roman" w:hAnsi="Cambria" w:cs="Times New Roman"/>
          <w:color w:val="000000"/>
        </w:rPr>
        <w:t xml:space="preserve">KidSeq research teams at NYGC, EM, and MS. EM requires that </w:t>
      </w:r>
      <w:r w:rsidRPr="00485E38">
        <w:rPr>
          <w:rFonts w:ascii="Cambria" w:eastAsia="Times New Roman" w:hAnsi="Cambria" w:cs="Times New Roman"/>
          <w:color w:val="000000"/>
        </w:rPr>
        <w:t xml:space="preserve">medical records are kept for 25 years; these (clinical reports) will be stored at EM with personal identifiers such as the child’s name. The child’s identifiable data may be used by the </w:t>
      </w:r>
      <w:r w:rsidR="00B1673B" w:rsidRPr="00485E38">
        <w:rPr>
          <w:rFonts w:ascii="Cambria" w:eastAsia="Times New Roman" w:hAnsi="Cambria" w:cs="Times New Roman"/>
          <w:color w:val="000000"/>
        </w:rPr>
        <w:t>Tele</w:t>
      </w:r>
      <w:r w:rsidRPr="00485E38">
        <w:rPr>
          <w:rFonts w:ascii="Cambria" w:eastAsia="Times New Roman" w:hAnsi="Cambria" w:cs="Times New Roman"/>
          <w:color w:val="000000"/>
        </w:rPr>
        <w:t xml:space="preserve">KidSeq research team for reasons related to, and for reasons </w:t>
      </w:r>
      <w:r w:rsidRPr="00485E38">
        <w:rPr>
          <w:rFonts w:ascii="Cambria" w:eastAsia="Times New Roman" w:hAnsi="Cambria" w:cs="Times New Roman"/>
          <w:color w:val="000000"/>
        </w:rPr>
        <w:lastRenderedPageBreak/>
        <w:t xml:space="preserve">unrelated to, the current research project. </w:t>
      </w:r>
      <w:r w:rsidRPr="00020C67">
        <w:rPr>
          <w:rFonts w:ascii="Cambria" w:eastAsia="Times New Roman" w:hAnsi="Cambria" w:cs="Times New Roman"/>
          <w:color w:val="000000"/>
        </w:rPr>
        <w:t>Samples may be used for either research or for clinical purposes if additional testing is needed.</w:t>
      </w:r>
    </w:p>
    <w:p w14:paraId="2C7530E3" w14:textId="77777777" w:rsidR="00A95DF0" w:rsidRPr="00020C67" w:rsidRDefault="00A95DF0" w:rsidP="00020C67">
      <w:pPr>
        <w:spacing w:after="0" w:line="240" w:lineRule="auto"/>
        <w:jc w:val="both"/>
        <w:rPr>
          <w:rFonts w:ascii="Cambria" w:eastAsia="Times New Roman" w:hAnsi="Cambria" w:cs="Times New Roman"/>
        </w:rPr>
      </w:pPr>
    </w:p>
    <w:p w14:paraId="26E13308" w14:textId="2840ED05"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Participant can decide that they do not want the </w:t>
      </w:r>
      <w:r w:rsidR="00B1673B" w:rsidRPr="009D7DDD">
        <w:rPr>
          <w:rFonts w:ascii="Cambria" w:eastAsia="Times New Roman" w:hAnsi="Cambria" w:cs="Times New Roman"/>
          <w:color w:val="000000"/>
        </w:rPr>
        <w:t>Tele</w:t>
      </w:r>
      <w:r w:rsidRPr="009D7DDD">
        <w:rPr>
          <w:rFonts w:ascii="Cambria" w:eastAsia="Times New Roman" w:hAnsi="Cambria" w:cs="Times New Roman"/>
          <w:color w:val="000000"/>
        </w:rPr>
        <w:t xml:space="preserve">KidSeq research teams to keep their and their child’s biological samples, and may withdraw consent to storage and use of such samples at any time by contacting the PI, </w:t>
      </w:r>
      <w:r w:rsidR="00B1673B" w:rsidRPr="00381CE7">
        <w:rPr>
          <w:rFonts w:ascii="Cambria" w:eastAsia="Times New Roman" w:hAnsi="Cambria" w:cs="Times New Roman"/>
          <w:color w:val="000000"/>
        </w:rPr>
        <w:t xml:space="preserve">Dr. Eimear Kenny, at </w:t>
      </w:r>
      <w:r w:rsidR="00B1673B" w:rsidRPr="00381CE7">
        <w:rPr>
          <w:rFonts w:ascii="Cambria" w:eastAsia="Arial" w:hAnsi="Cambria" w:cs="Arial"/>
        </w:rPr>
        <w:t>1468 Madison Avenue, Annenberg 18th Floor, Room 18-80D or at 212-241-8288.</w:t>
      </w:r>
      <w:r w:rsidR="00B1673B" w:rsidRPr="00485E38">
        <w:rPr>
          <w:rFonts w:ascii="Cambria" w:eastAsia="Times New Roman" w:hAnsi="Cambria" w:cs="Times New Roman"/>
          <w:color w:val="000000"/>
        </w:rPr>
        <w:t xml:space="preserve"> </w:t>
      </w:r>
      <w:r w:rsidRPr="00485E38">
        <w:rPr>
          <w:rFonts w:ascii="Cambria" w:eastAsia="Times New Roman" w:hAnsi="Cambria" w:cs="Times New Roman"/>
          <w:color w:val="000000"/>
        </w:rPr>
        <w:t xml:space="preserve">If this happens, we will promptly destroy the sample(s) or the portions thereof that have not already been used. However, the parent(s) and their child’s sample may have already been distributed to other researchers within </w:t>
      </w:r>
      <w:r w:rsidR="00B1673B" w:rsidRPr="00485E38">
        <w:rPr>
          <w:rFonts w:ascii="Cambria" w:eastAsia="Times New Roman" w:hAnsi="Cambria" w:cs="Times New Roman"/>
          <w:color w:val="000000"/>
        </w:rPr>
        <w:t>Tele</w:t>
      </w:r>
      <w:r w:rsidRPr="00485E38">
        <w:rPr>
          <w:rFonts w:ascii="Cambria" w:eastAsia="Times New Roman" w:hAnsi="Cambria" w:cs="Times New Roman"/>
          <w:color w:val="000000"/>
        </w:rPr>
        <w:t>KidSeq before the request to destroy was received, and we may not be able to retrieve it and stop future research.</w:t>
      </w:r>
    </w:p>
    <w:p w14:paraId="286F8716" w14:textId="77777777" w:rsidR="00A95DF0" w:rsidRPr="00020C67" w:rsidRDefault="00A95DF0" w:rsidP="00020C67">
      <w:pPr>
        <w:spacing w:after="0" w:line="240" w:lineRule="auto"/>
        <w:jc w:val="both"/>
        <w:rPr>
          <w:rFonts w:ascii="Cambria" w:eastAsia="Times New Roman" w:hAnsi="Cambria" w:cs="Times New Roman"/>
        </w:rPr>
      </w:pPr>
    </w:p>
    <w:p w14:paraId="599E0DEA" w14:textId="4408228A"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We will ask participants their permission to allow their and their child’s de-identified sequencing information (data) to be shared with other researchers (i.e., those who are not associated with </w:t>
      </w:r>
      <w:r w:rsidR="00B1673B" w:rsidRPr="009D7DDD">
        <w:rPr>
          <w:rFonts w:ascii="Cambria" w:eastAsia="Times New Roman" w:hAnsi="Cambria" w:cs="Times New Roman"/>
          <w:color w:val="000000"/>
        </w:rPr>
        <w:t>Tele</w:t>
      </w:r>
      <w:r w:rsidRPr="009D7DDD">
        <w:rPr>
          <w:rFonts w:ascii="Cambria" w:eastAsia="Times New Roman" w:hAnsi="Cambria" w:cs="Times New Roman"/>
          <w:color w:val="000000"/>
        </w:rPr>
        <w:t>KidSeq). The sequencing data may be used in future research, including future genetic testing, to learn about, prevent, or treat health problems. </w:t>
      </w:r>
    </w:p>
    <w:p w14:paraId="1F88A952" w14:textId="77777777" w:rsidR="00A95DF0" w:rsidRPr="00020C67" w:rsidRDefault="00A95DF0" w:rsidP="00020C67">
      <w:pPr>
        <w:spacing w:after="0" w:line="240" w:lineRule="auto"/>
        <w:jc w:val="both"/>
        <w:rPr>
          <w:rFonts w:ascii="Cambria" w:eastAsia="Times New Roman" w:hAnsi="Cambria" w:cs="Times New Roman"/>
        </w:rPr>
      </w:pPr>
    </w:p>
    <w:p w14:paraId="58D46410" w14:textId="0721D756"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To protect participants privacy, </w:t>
      </w:r>
      <w:r w:rsidR="00B1673B" w:rsidRPr="009D7DDD">
        <w:rPr>
          <w:rFonts w:ascii="Cambria" w:eastAsia="Times New Roman" w:hAnsi="Cambria" w:cs="Times New Roman"/>
          <w:color w:val="000000"/>
        </w:rPr>
        <w:t xml:space="preserve">the Icahn School of Medicine at Mount Sinai and the Mount Sinai Hospital system </w:t>
      </w:r>
      <w:r w:rsidRPr="00381CE7">
        <w:rPr>
          <w:rFonts w:ascii="Cambria" w:eastAsia="Times New Roman" w:hAnsi="Cambria" w:cs="Times New Roman"/>
          <w:color w:val="000000"/>
        </w:rPr>
        <w:t xml:space="preserve">has policies and procedures in place that are overseen and monitored by the Institutional Review Board. </w:t>
      </w:r>
      <w:r w:rsidR="009D7DDD">
        <w:rPr>
          <w:rFonts w:ascii="Cambria" w:eastAsia="Times New Roman" w:hAnsi="Cambria" w:cs="Times New Roman"/>
          <w:color w:val="000000"/>
        </w:rPr>
        <w:t>T</w:t>
      </w:r>
      <w:r w:rsidR="00B1673B" w:rsidRPr="009D7DDD">
        <w:rPr>
          <w:rFonts w:ascii="Cambria" w:eastAsia="Times New Roman" w:hAnsi="Cambria" w:cs="Times New Roman"/>
          <w:color w:val="000000"/>
        </w:rPr>
        <w:t xml:space="preserve">he Icahn School of Medicine at Mount Sinai and the Mount Sinai Hospital system </w:t>
      </w:r>
      <w:r w:rsidRPr="00381CE7">
        <w:rPr>
          <w:rFonts w:ascii="Cambria" w:eastAsia="Times New Roman" w:hAnsi="Cambria" w:cs="Times New Roman"/>
          <w:color w:val="000000"/>
        </w:rPr>
        <w:t>requires its staff who may use or have access to participant samples (parent(s) and child) or data to receive training on its privacy and data security policies, and to follow those policies with care. </w:t>
      </w:r>
    </w:p>
    <w:p w14:paraId="670F9945" w14:textId="77777777" w:rsidR="00A95DF0" w:rsidRPr="00020C67" w:rsidRDefault="00A95DF0" w:rsidP="00020C67">
      <w:pPr>
        <w:spacing w:after="0" w:line="240" w:lineRule="auto"/>
        <w:jc w:val="both"/>
        <w:rPr>
          <w:rFonts w:ascii="Cambria" w:eastAsia="Times New Roman" w:hAnsi="Cambria" w:cs="Times New Roman"/>
        </w:rPr>
      </w:pPr>
    </w:p>
    <w:p w14:paraId="5C77D5A4"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X.c. Sharing Results with Scientific Community</w:t>
      </w:r>
    </w:p>
    <w:p w14:paraId="7C4BCBCB"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color w:val="000000"/>
        </w:rPr>
        <w:t>Public Sharing of genome data</w:t>
      </w:r>
    </w:p>
    <w:p w14:paraId="02D61513" w14:textId="5581A49B"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One purpose of this study is to help researchers around the world learn about the genomes of people from diverse populations. If the participants agree to take part in this study, some of the child’s gene</w:t>
      </w:r>
      <w:r w:rsidRPr="00381CE7">
        <w:rPr>
          <w:rFonts w:ascii="Cambria" w:eastAsia="Times New Roman" w:hAnsi="Cambria" w:cs="Times New Roman"/>
          <w:color w:val="000000"/>
        </w:rPr>
        <w:t>tic and related health information will be entered into one or more scientific databases available to other researchers inside and outside of EM, MS, and the NYGC. </w:t>
      </w:r>
    </w:p>
    <w:p w14:paraId="69F323C9" w14:textId="77777777" w:rsidR="00A95DF0" w:rsidRPr="00020C67" w:rsidRDefault="00A95DF0" w:rsidP="00020C67">
      <w:pPr>
        <w:spacing w:after="0" w:line="240" w:lineRule="auto"/>
        <w:jc w:val="both"/>
        <w:rPr>
          <w:rFonts w:ascii="Cambria" w:eastAsia="Times New Roman" w:hAnsi="Cambria" w:cs="Times New Roman"/>
        </w:rPr>
      </w:pPr>
    </w:p>
    <w:p w14:paraId="2FB0C478" w14:textId="1F41A2C1"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xml:space="preserve">Participants will have the option to share such data with secure, public research databases like The Database of Genes and Phenotypes (“dbGAP”), an NIH-maintained database which has restricted access. Only researchers who apply and are approved can access to these restricted databases, like dbGAP, dbVar, and other databases. The </w:t>
      </w:r>
      <w:r w:rsidR="00B1673B" w:rsidRPr="00381CE7">
        <w:rPr>
          <w:rFonts w:ascii="Cambria" w:eastAsia="Times New Roman" w:hAnsi="Cambria" w:cs="Times New Roman"/>
          <w:color w:val="000000"/>
        </w:rPr>
        <w:t>Tele</w:t>
      </w:r>
      <w:r w:rsidRPr="00381CE7">
        <w:rPr>
          <w:rFonts w:ascii="Cambria" w:eastAsia="Times New Roman" w:hAnsi="Cambria" w:cs="Times New Roman"/>
          <w:color w:val="000000"/>
        </w:rPr>
        <w:t>KidSeq program will limit sharing of data to only r</w:t>
      </w:r>
      <w:r w:rsidRPr="00485E38">
        <w:rPr>
          <w:rFonts w:ascii="Cambria" w:eastAsia="Times New Roman" w:hAnsi="Cambria" w:cs="Times New Roman"/>
          <w:color w:val="000000"/>
        </w:rPr>
        <w:t>estricted databases, which require approval to access. Additionally, we are one of six CSER consortium sites where researchers across the Consortium may apply for access to survey</w:t>
      </w:r>
      <w:r w:rsidR="009D7DDD">
        <w:rPr>
          <w:rFonts w:ascii="Cambria" w:eastAsia="Times New Roman" w:hAnsi="Cambria" w:cs="Times New Roman"/>
          <w:color w:val="000000"/>
        </w:rPr>
        <w:t>,</w:t>
      </w:r>
      <w:r w:rsidRPr="009D7DDD">
        <w:rPr>
          <w:rFonts w:ascii="Cambria" w:eastAsia="Times New Roman" w:hAnsi="Cambria" w:cs="Times New Roman"/>
          <w:color w:val="000000"/>
        </w:rPr>
        <w:t xml:space="preserve"> health, and </w:t>
      </w:r>
      <w:r w:rsidR="009D7DDD">
        <w:rPr>
          <w:rFonts w:ascii="Cambria" w:eastAsia="Times New Roman" w:hAnsi="Cambria" w:cs="Times New Roman"/>
          <w:color w:val="000000"/>
        </w:rPr>
        <w:t>genomic data</w:t>
      </w:r>
      <w:r w:rsidRPr="009D7DDD">
        <w:rPr>
          <w:rFonts w:ascii="Cambria" w:eastAsia="Times New Roman" w:hAnsi="Cambria" w:cs="Times New Roman"/>
          <w:color w:val="000000"/>
        </w:rPr>
        <w:t xml:space="preserve"> collected from our study</w:t>
      </w:r>
      <w:r w:rsidR="008C616C">
        <w:rPr>
          <w:rFonts w:ascii="Cambria" w:eastAsia="Times New Roman" w:hAnsi="Cambria" w:cs="Times New Roman"/>
          <w:color w:val="000000"/>
        </w:rPr>
        <w:t xml:space="preserve">, which we will provide under the term of a data use agreement co-signed by our IRB. </w:t>
      </w:r>
    </w:p>
    <w:p w14:paraId="2B6DF009" w14:textId="77777777" w:rsidR="00A95DF0" w:rsidRPr="00020C67" w:rsidRDefault="00A95DF0" w:rsidP="00020C67">
      <w:pPr>
        <w:spacing w:after="0" w:line="240" w:lineRule="auto"/>
        <w:jc w:val="both"/>
        <w:rPr>
          <w:rFonts w:ascii="Cambria" w:eastAsia="Times New Roman" w:hAnsi="Cambria" w:cs="Times New Roman"/>
        </w:rPr>
      </w:pPr>
    </w:p>
    <w:p w14:paraId="339E44D7"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Please note that identifying information about the participants, such as name, address, telephone number, or social security number, will NOT be put into thes</w:t>
      </w:r>
      <w:r w:rsidRPr="00381CE7">
        <w:rPr>
          <w:rFonts w:ascii="Cambria" w:eastAsia="Times New Roman" w:hAnsi="Cambria" w:cs="Times New Roman"/>
          <w:color w:val="000000"/>
        </w:rPr>
        <w:t xml:space="preserve">e scientific databases.  However, because the child’s genetic information is unique to them, there is a chance that it could be traced back to the participant. The risk of this happening is very small and is explained in the </w:t>
      </w:r>
      <w:r w:rsidRPr="00485E38">
        <w:rPr>
          <w:rFonts w:ascii="Cambria" w:eastAsia="Times New Roman" w:hAnsi="Cambria" w:cs="Times New Roman"/>
          <w:i/>
          <w:iCs/>
          <w:color w:val="000000"/>
        </w:rPr>
        <w:t xml:space="preserve">Risks </w:t>
      </w:r>
      <w:r w:rsidRPr="00485E38">
        <w:rPr>
          <w:rFonts w:ascii="Cambria" w:eastAsia="Times New Roman" w:hAnsi="Cambria" w:cs="Times New Roman"/>
          <w:color w:val="000000"/>
        </w:rPr>
        <w:t>section of the protocol and consent. Researchers will always have a duty to protect your privacy and to keep your information confidential. </w:t>
      </w:r>
    </w:p>
    <w:p w14:paraId="59C3AF17" w14:textId="77777777" w:rsidR="00A95DF0" w:rsidRPr="00020C67" w:rsidRDefault="00A95DF0" w:rsidP="00020C67">
      <w:pPr>
        <w:spacing w:after="0" w:line="240" w:lineRule="auto"/>
        <w:jc w:val="both"/>
        <w:rPr>
          <w:rFonts w:ascii="Cambria" w:eastAsia="Times New Roman" w:hAnsi="Cambria" w:cs="Times New Roman"/>
        </w:rPr>
      </w:pPr>
    </w:p>
    <w:p w14:paraId="4320EE08"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We have also included language in the pediatric assent that informs teens that their parents may choose to share the teen’s sequencing data</w:t>
      </w:r>
      <w:r w:rsidRPr="00381CE7">
        <w:rPr>
          <w:rFonts w:ascii="Cambria" w:eastAsia="Times New Roman" w:hAnsi="Cambria" w:cs="Times New Roman"/>
          <w:color w:val="000000"/>
        </w:rPr>
        <w:t xml:space="preserve"> in secure, public research databases and/or their de-identified samples with outside researchers. When the child turns 18, if s/he does not agree with the </w:t>
      </w:r>
      <w:r w:rsidRPr="00381CE7">
        <w:rPr>
          <w:rFonts w:ascii="Cambria" w:eastAsia="Times New Roman" w:hAnsi="Cambria" w:cs="Times New Roman"/>
          <w:color w:val="000000"/>
        </w:rPr>
        <w:lastRenderedPageBreak/>
        <w:t>parental decision plan, s/he may contact the study team to share their previously unshared data/sample. Conversely, if their pa</w:t>
      </w:r>
      <w:r w:rsidRPr="00485E38">
        <w:rPr>
          <w:rFonts w:ascii="Cambria" w:eastAsia="Times New Roman" w:hAnsi="Cambria" w:cs="Times New Roman"/>
          <w:color w:val="000000"/>
        </w:rPr>
        <w:t>rents chose to share their data/sample and they disagree, we will not share it, although if the data/sample has already been de-identified and shared, it will not be possible to retrieve it.</w:t>
      </w:r>
    </w:p>
    <w:p w14:paraId="2F6CAFBA" w14:textId="77777777" w:rsidR="00A95DF0" w:rsidRPr="00020C67" w:rsidRDefault="00A95DF0" w:rsidP="00020C67">
      <w:pPr>
        <w:spacing w:after="0" w:line="240" w:lineRule="auto"/>
        <w:jc w:val="both"/>
        <w:rPr>
          <w:rFonts w:ascii="Cambria" w:eastAsia="Times New Roman" w:hAnsi="Cambria" w:cs="Times New Roman"/>
        </w:rPr>
      </w:pPr>
    </w:p>
    <w:p w14:paraId="779E3794"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X.d. Data Storage and Confidentiality</w:t>
      </w:r>
    </w:p>
    <w:p w14:paraId="0BC70DC6"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i/>
          <w:iCs/>
          <w:color w:val="000000"/>
        </w:rPr>
        <w:t>Hardcopies of data</w:t>
      </w:r>
    </w:p>
    <w:p w14:paraId="6E6812B5"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All hard copies of source documents will be locked in a secure cabinet while they are unsupervised. Only authorized research study personnel will have access to this information.  </w:t>
      </w:r>
    </w:p>
    <w:p w14:paraId="29A2A949"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 </w:t>
      </w:r>
    </w:p>
    <w:p w14:paraId="60450EFD"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i/>
          <w:iCs/>
          <w:color w:val="000000"/>
        </w:rPr>
        <w:t>Storage and security of electronic data</w:t>
      </w:r>
    </w:p>
    <w:p w14:paraId="545CE5F6"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Any email correspondence between the research teams will be secured using institutionally approved encryption and identifiable patient information will be limited to the minimum necessary in order to uphold protec</w:t>
      </w:r>
      <w:r w:rsidRPr="00381CE7">
        <w:rPr>
          <w:rFonts w:ascii="Cambria" w:eastAsia="Times New Roman" w:hAnsi="Cambria" w:cs="Times New Roman"/>
          <w:color w:val="000000"/>
        </w:rPr>
        <w:t>tion of patient privacy. Coded documents and specimens will be stored indefinitely unless the participant withdraws from the study.</w:t>
      </w:r>
    </w:p>
    <w:p w14:paraId="0AEEF758" w14:textId="77777777" w:rsidR="00A95DF0" w:rsidRPr="00020C67" w:rsidRDefault="00A95DF0" w:rsidP="00020C67">
      <w:pPr>
        <w:spacing w:after="0" w:line="240" w:lineRule="auto"/>
        <w:jc w:val="both"/>
        <w:rPr>
          <w:rFonts w:ascii="Cambria" w:eastAsia="Times New Roman" w:hAnsi="Cambria" w:cs="Times New Roman"/>
        </w:rPr>
      </w:pPr>
    </w:p>
    <w:p w14:paraId="0C93B0CE"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X.e. HIPAA Authorization </w:t>
      </w:r>
    </w:p>
    <w:p w14:paraId="18F28D67"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The researchers and study staff will follow federal and state laws to protect participants’ privacy. We will institute rigorous data confidentiality and privacy protections, in accordance with HIPAA, to minimize the chance of risk for the participants. The following procedures will be used at MS and EM safeguard data: 1) train staff on data sensitivit</w:t>
      </w:r>
      <w:r w:rsidRPr="00381CE7">
        <w:rPr>
          <w:rFonts w:ascii="Cambria" w:eastAsia="Times New Roman" w:hAnsi="Cambria" w:cs="Times New Roman"/>
          <w:color w:val="000000"/>
        </w:rPr>
        <w:t>y and safeguards; 2) store and process sensitive hard copy in a centralized location; 3) secure sensitive hard copy in locked files when not in use; 4) remove names, addresses, and other direct identifiers from hard copy and computer-readable data if they are not necessary for participant tracking; 5) destroy all identifiable links to data after accuracy has been verified and final analyses have been completed; and 6) protect the patient information file, secured in our file server, by Microsoft NT encrypted password and a separate p</w:t>
      </w:r>
      <w:r w:rsidRPr="00485E38">
        <w:rPr>
          <w:rFonts w:ascii="Cambria" w:eastAsia="Times New Roman" w:hAnsi="Cambria" w:cs="Times New Roman"/>
          <w:color w:val="000000"/>
        </w:rPr>
        <w:t>assword to access the database file on the server. </w:t>
      </w:r>
    </w:p>
    <w:p w14:paraId="2C277598" w14:textId="77777777" w:rsidR="00A95DF0" w:rsidRPr="00020C67" w:rsidRDefault="00A95DF0" w:rsidP="00020C67">
      <w:pPr>
        <w:spacing w:after="0" w:line="240" w:lineRule="auto"/>
        <w:jc w:val="both"/>
        <w:rPr>
          <w:rFonts w:ascii="Cambria" w:eastAsia="Times New Roman" w:hAnsi="Cambria" w:cs="Times New Roman"/>
        </w:rPr>
      </w:pPr>
    </w:p>
    <w:p w14:paraId="00D72582"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The health information that we may use or disclose for the research described in this protocol includes information from the child’s entire medical record, such his/her name, p</w:t>
      </w:r>
      <w:r w:rsidRPr="00381CE7">
        <w:rPr>
          <w:rFonts w:ascii="Cambria" w:eastAsia="Times New Roman" w:hAnsi="Cambria" w:cs="Times New Roman"/>
          <w:color w:val="000000"/>
        </w:rPr>
        <w:t>hone number, email, medical diagnoses, dates, test results, social security number, medical record numbers, etc.</w:t>
      </w:r>
    </w:p>
    <w:p w14:paraId="58C6A52C" w14:textId="77777777" w:rsidR="00A95DF0" w:rsidRPr="00020C67" w:rsidRDefault="00A95DF0" w:rsidP="00020C67">
      <w:pPr>
        <w:spacing w:after="0" w:line="240" w:lineRule="auto"/>
        <w:jc w:val="both"/>
        <w:rPr>
          <w:rFonts w:ascii="Cambria" w:eastAsia="Times New Roman" w:hAnsi="Cambria" w:cs="Times New Roman"/>
        </w:rPr>
      </w:pPr>
    </w:p>
    <w:p w14:paraId="57BB649F"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The only people who can see the participant’s research records are:</w:t>
      </w:r>
    </w:p>
    <w:p w14:paraId="4B1012AF" w14:textId="39E03883" w:rsidR="00A95DF0" w:rsidRPr="00020C67" w:rsidRDefault="00A95DF0" w:rsidP="00020C67">
      <w:pPr>
        <w:numPr>
          <w:ilvl w:val="0"/>
          <w:numId w:val="21"/>
        </w:numPr>
        <w:spacing w:after="0" w:line="240" w:lineRule="auto"/>
        <w:ind w:left="788"/>
        <w:jc w:val="both"/>
        <w:textAlignment w:val="baseline"/>
        <w:rPr>
          <w:rFonts w:ascii="Cambria" w:eastAsia="Times New Roman" w:hAnsi="Cambria" w:cs="Arial"/>
          <w:color w:val="000000"/>
        </w:rPr>
      </w:pPr>
      <w:r w:rsidRPr="009D7DDD">
        <w:rPr>
          <w:rFonts w:ascii="Cambria" w:eastAsia="Times New Roman" w:hAnsi="Cambria" w:cs="Arial"/>
          <w:color w:val="000000"/>
        </w:rPr>
        <w:t>Researchers at</w:t>
      </w:r>
      <w:r w:rsidR="00381CE7">
        <w:rPr>
          <w:rFonts w:ascii="Cambria" w:eastAsia="Times New Roman" w:hAnsi="Cambria" w:cs="Arial"/>
          <w:color w:val="000000"/>
        </w:rPr>
        <w:t xml:space="preserve"> MS,</w:t>
      </w:r>
      <w:r w:rsidRPr="009D7DDD">
        <w:rPr>
          <w:rFonts w:ascii="Cambria" w:eastAsia="Times New Roman" w:hAnsi="Cambria" w:cs="Arial"/>
          <w:color w:val="000000"/>
        </w:rPr>
        <w:t xml:space="preserve"> </w:t>
      </w:r>
      <w:r w:rsidR="00381CE7">
        <w:rPr>
          <w:rFonts w:ascii="Cambria" w:eastAsia="Times New Roman" w:hAnsi="Cambria" w:cs="Arial"/>
          <w:color w:val="000000"/>
        </w:rPr>
        <w:t>EM,</w:t>
      </w:r>
      <w:r w:rsidRPr="009D7DDD">
        <w:rPr>
          <w:rFonts w:ascii="Cambria" w:eastAsia="Times New Roman" w:hAnsi="Cambria" w:cs="Arial"/>
          <w:color w:val="000000"/>
        </w:rPr>
        <w:t xml:space="preserve"> and other individuals who work with the researchers</w:t>
      </w:r>
    </w:p>
    <w:p w14:paraId="42A9A522" w14:textId="05EF97E5" w:rsidR="00A95DF0" w:rsidRPr="00020C67" w:rsidRDefault="00A95DF0" w:rsidP="00020C67">
      <w:pPr>
        <w:numPr>
          <w:ilvl w:val="0"/>
          <w:numId w:val="21"/>
        </w:numPr>
        <w:spacing w:after="0" w:line="240" w:lineRule="auto"/>
        <w:ind w:left="788"/>
        <w:jc w:val="both"/>
        <w:textAlignment w:val="baseline"/>
        <w:rPr>
          <w:rFonts w:ascii="Cambria" w:eastAsia="Times New Roman" w:hAnsi="Cambria" w:cs="Arial"/>
          <w:color w:val="000000"/>
        </w:rPr>
      </w:pPr>
      <w:r w:rsidRPr="009D7DDD">
        <w:rPr>
          <w:rFonts w:ascii="Cambria" w:eastAsia="Times New Roman" w:hAnsi="Cambria" w:cs="Arial"/>
          <w:color w:val="000000"/>
        </w:rPr>
        <w:t xml:space="preserve">Organizations and institutions involved in this research, including those that fund the research, including: </w:t>
      </w:r>
      <w:r w:rsidRPr="00381CE7">
        <w:rPr>
          <w:rFonts w:ascii="Cambria" w:eastAsia="Times New Roman" w:hAnsi="Cambria" w:cs="Arial"/>
          <w:i/>
          <w:iCs/>
          <w:color w:val="000000"/>
        </w:rPr>
        <w:t>The National Institutes of Health, the Clinical Sequencing Evidence-Generating Research Consortium, Albert Einstein College of Medicine/Montefiore Medical Center, the Icahn School of Medicine/Mount Sinai Health System, and the New York Genome Center</w:t>
      </w:r>
    </w:p>
    <w:p w14:paraId="0130CFDD" w14:textId="77777777" w:rsidR="00A95DF0" w:rsidRPr="00020C67" w:rsidRDefault="00A95DF0" w:rsidP="00020C67">
      <w:pPr>
        <w:numPr>
          <w:ilvl w:val="0"/>
          <w:numId w:val="21"/>
        </w:numPr>
        <w:spacing w:after="0" w:line="240" w:lineRule="auto"/>
        <w:ind w:left="788"/>
        <w:jc w:val="both"/>
        <w:textAlignment w:val="baseline"/>
        <w:rPr>
          <w:rFonts w:ascii="Cambria" w:eastAsia="Times New Roman" w:hAnsi="Cambria" w:cs="Arial"/>
          <w:color w:val="000000"/>
        </w:rPr>
      </w:pPr>
      <w:r w:rsidRPr="009D7DDD">
        <w:rPr>
          <w:rFonts w:ascii="Cambria" w:eastAsia="Times New Roman" w:hAnsi="Cambria" w:cs="Arial"/>
          <w:color w:val="000000"/>
        </w:rPr>
        <w:t xml:space="preserve">Groups that review research such as central reviewers, Institutional Review Boards, the Office for Human Research Protections, the US </w:t>
      </w:r>
      <w:r w:rsidRPr="00381CE7">
        <w:rPr>
          <w:rFonts w:ascii="Cambria" w:eastAsia="Times New Roman" w:hAnsi="Cambria" w:cs="Arial"/>
          <w:color w:val="000000"/>
        </w:rPr>
        <w:t>Food and Drug Administration, data coordinating centers, and domestic and foreign agencies that regulate research.</w:t>
      </w:r>
    </w:p>
    <w:p w14:paraId="48A301D7" w14:textId="77777777" w:rsidR="00A95DF0" w:rsidRPr="00020C67" w:rsidRDefault="00A95DF0" w:rsidP="00020C67">
      <w:pPr>
        <w:spacing w:after="0" w:line="240" w:lineRule="auto"/>
        <w:jc w:val="both"/>
        <w:rPr>
          <w:rFonts w:ascii="Cambria" w:eastAsia="Times New Roman" w:hAnsi="Cambria" w:cs="Times New Roman"/>
        </w:rPr>
      </w:pPr>
    </w:p>
    <w:p w14:paraId="308A638F"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The purposes of these uses and disclosures are to (1) conduct the study and (2) make sure the study is being done correctly. The information</w:t>
      </w:r>
      <w:r w:rsidRPr="00381CE7">
        <w:rPr>
          <w:rFonts w:ascii="Cambria" w:eastAsia="Times New Roman" w:hAnsi="Cambria" w:cs="Times New Roman"/>
          <w:color w:val="000000"/>
        </w:rPr>
        <w:t xml:space="preserve"> covered under this section may no longer be protected by federal privacy laws (such as HIPAA) once disclosed, and those persons who receive the participant’s health information may share it with others without the participant’s additional permission. All of these groups have been asked to keep the participant’s information confidential. </w:t>
      </w:r>
    </w:p>
    <w:p w14:paraId="481A2AB5" w14:textId="77777777" w:rsidR="00A95DF0" w:rsidRPr="00020C67" w:rsidRDefault="00A95DF0" w:rsidP="00020C67">
      <w:pPr>
        <w:spacing w:after="0" w:line="240" w:lineRule="auto"/>
        <w:jc w:val="both"/>
        <w:rPr>
          <w:rFonts w:ascii="Cambria" w:eastAsia="Times New Roman" w:hAnsi="Cambria" w:cs="Times New Roman"/>
        </w:rPr>
      </w:pPr>
    </w:p>
    <w:p w14:paraId="2EE53FB7" w14:textId="0859AE1D"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lastRenderedPageBreak/>
        <w:t>Medical information collected during the research, such as the genomic test results, will be entered into the child’s electronic medical record and will be ava</w:t>
      </w:r>
      <w:r w:rsidRPr="00381CE7">
        <w:rPr>
          <w:rFonts w:ascii="Cambria" w:eastAsia="Times New Roman" w:hAnsi="Cambria" w:cs="Times New Roman"/>
          <w:color w:val="000000"/>
        </w:rPr>
        <w:t>ilable to clinicians and other staff at who provide care to them. </w:t>
      </w:r>
    </w:p>
    <w:p w14:paraId="2BCA20C7" w14:textId="77777777" w:rsidR="00A95DF0" w:rsidRPr="00020C67" w:rsidRDefault="00A95DF0" w:rsidP="00020C67">
      <w:pPr>
        <w:spacing w:after="0" w:line="240" w:lineRule="auto"/>
        <w:jc w:val="both"/>
        <w:rPr>
          <w:rFonts w:ascii="Cambria" w:eastAsia="Times New Roman" w:hAnsi="Cambria" w:cs="Times New Roman"/>
        </w:rPr>
      </w:pPr>
    </w:p>
    <w:p w14:paraId="04584F35"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X.f. Certificate of Confidentiality</w:t>
      </w:r>
    </w:p>
    <w:p w14:paraId="4AE360B8"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As this is an NIH-funded study, we have added the following statement to all consent forms:</w:t>
      </w:r>
    </w:p>
    <w:p w14:paraId="10026317" w14:textId="77777777" w:rsidR="00A95DF0" w:rsidRPr="00020C67" w:rsidRDefault="00A95DF0" w:rsidP="00020C67">
      <w:pPr>
        <w:spacing w:after="0" w:line="240" w:lineRule="auto"/>
        <w:ind w:left="180"/>
        <w:jc w:val="both"/>
        <w:rPr>
          <w:rFonts w:ascii="Cambria" w:eastAsia="Times New Roman" w:hAnsi="Cambria" w:cs="Times New Roman"/>
        </w:rPr>
      </w:pPr>
      <w:r w:rsidRPr="009D7DDD">
        <w:rPr>
          <w:rFonts w:ascii="Cambria" w:eastAsia="Times New Roman" w:hAnsi="Cambria" w:cs="Times New Roman"/>
          <w:color w:val="000000"/>
        </w:rPr>
        <w:t>“As a way to protect your privacy, we have obtained a Certificate of Confidentiality from the National Institutes of Health, which is funding this study.  If information from this study were requested or subpoenaed by government agencies or the courts, we would use the Certificate to attempt to legally r</w:t>
      </w:r>
      <w:r w:rsidRPr="00381CE7">
        <w:rPr>
          <w:rFonts w:ascii="Cambria" w:eastAsia="Times New Roman" w:hAnsi="Cambria" w:cs="Times New Roman"/>
          <w:color w:val="000000"/>
        </w:rPr>
        <w:t>efuse to provide that information.  These requests are rare – in only a few cases did researchers have to use the Certificate, and it was honored most of the time, but not every time. There are several kinds of situations to which the Certificate does not apply. For example, we are still required to report child abuse and some diseases, and we must make data available to the government for review or evaluation of our research. The Certificate does not prevent you or a member of your family from voluntarily sharing information. Simila</w:t>
      </w:r>
      <w:r w:rsidRPr="00485E38">
        <w:rPr>
          <w:rFonts w:ascii="Cambria" w:eastAsia="Times New Roman" w:hAnsi="Cambria" w:cs="Times New Roman"/>
          <w:color w:val="000000"/>
        </w:rPr>
        <w:t>rly, if an insurer, employer, or other person obtains your written consent to receive research information, then the researchers may not use the Certificate to withhold that information.”</w:t>
      </w:r>
    </w:p>
    <w:p w14:paraId="46A02094" w14:textId="77777777" w:rsidR="00A95DF0" w:rsidRPr="00020C67" w:rsidRDefault="00A95DF0" w:rsidP="00020C67">
      <w:pPr>
        <w:spacing w:after="0" w:line="240" w:lineRule="auto"/>
        <w:jc w:val="both"/>
        <w:rPr>
          <w:rFonts w:ascii="Cambria" w:eastAsia="Times New Roman" w:hAnsi="Cambria" w:cs="Times New Roman"/>
        </w:rPr>
      </w:pPr>
    </w:p>
    <w:p w14:paraId="080EA297" w14:textId="77777777" w:rsidR="00A95DF0" w:rsidRPr="00381CE7" w:rsidRDefault="00A95DF0" w:rsidP="00020C67">
      <w:pPr>
        <w:numPr>
          <w:ilvl w:val="0"/>
          <w:numId w:val="22"/>
        </w:numPr>
        <w:spacing w:after="120" w:line="240" w:lineRule="auto"/>
        <w:jc w:val="both"/>
        <w:textAlignment w:val="baseline"/>
        <w:rPr>
          <w:rFonts w:ascii="Cambria" w:eastAsia="Times New Roman" w:hAnsi="Cambria" w:cs="Times New Roman"/>
          <w:b/>
          <w:bCs/>
          <w:color w:val="000000"/>
        </w:rPr>
      </w:pPr>
      <w:r w:rsidRPr="009D7DDD">
        <w:rPr>
          <w:rFonts w:ascii="Cambria" w:eastAsia="Times New Roman" w:hAnsi="Cambria" w:cs="Times New Roman"/>
          <w:b/>
          <w:bCs/>
          <w:color w:val="000000"/>
        </w:rPr>
        <w:t>Data Quality Control &amp; Database Management </w:t>
      </w:r>
    </w:p>
    <w:p w14:paraId="34801FA5" w14:textId="77777777" w:rsidR="00A95DF0" w:rsidRPr="00020C67" w:rsidRDefault="00A95DF0" w:rsidP="00020C67">
      <w:pPr>
        <w:spacing w:after="120" w:line="240" w:lineRule="auto"/>
        <w:jc w:val="both"/>
        <w:rPr>
          <w:rFonts w:ascii="Cambria" w:eastAsia="Times New Roman" w:hAnsi="Cambria" w:cs="Times New Roman"/>
        </w:rPr>
      </w:pPr>
      <w:r w:rsidRPr="00381CE7">
        <w:rPr>
          <w:rFonts w:ascii="Cambria" w:eastAsia="Times New Roman" w:hAnsi="Cambria" w:cs="Times New Roman"/>
          <w:b/>
          <w:bCs/>
          <w:i/>
          <w:iCs/>
          <w:color w:val="000000"/>
        </w:rPr>
        <w:t>XI.a. Data entry </w:t>
      </w:r>
    </w:p>
    <w:p w14:paraId="324ADDE6"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 REDCap database</w:t>
      </w:r>
      <w:r w:rsidRPr="009D7DDD">
        <w:rPr>
          <w:rFonts w:ascii="Cambria" w:eastAsia="Times New Roman" w:hAnsi="Cambria" w:cs="Times New Roman"/>
          <w:i/>
          <w:iCs/>
          <w:color w:val="000000"/>
        </w:rPr>
        <w:t xml:space="preserve"> </w:t>
      </w:r>
      <w:r w:rsidRPr="00381CE7">
        <w:rPr>
          <w:rFonts w:ascii="Cambria" w:eastAsia="Times New Roman" w:hAnsi="Cambria" w:cs="Times New Roman"/>
          <w:color w:val="000000"/>
        </w:rPr>
        <w:t>will be developed to track and monitor patients, adapting the data dictionary from previous studies. This includes MRNs and patient IDs, inclusion criteria, baseline, 3- and 9-month patient contact logs and surveys, calendar and reminder functions, and ability for recruiters, managers and investigators to track workflow and perform queries to assess the status of patients (i.e., who is outstanding for a 3-month visit). Surveys will be piloted with patients/parents using think out loud feedback techniques, revised accordingly, and entered into REDCap so recruiters can use tablet PC’s to survey and directly enter data.</w:t>
      </w:r>
    </w:p>
    <w:p w14:paraId="7D2F9C0A" w14:textId="77777777" w:rsidR="00A95DF0" w:rsidRPr="00020C67" w:rsidRDefault="00A95DF0" w:rsidP="00020C67">
      <w:pPr>
        <w:spacing w:after="0" w:line="240" w:lineRule="auto"/>
        <w:jc w:val="both"/>
        <w:rPr>
          <w:rFonts w:ascii="Cambria" w:eastAsia="Times New Roman" w:hAnsi="Cambria" w:cs="Times New Roman"/>
        </w:rPr>
      </w:pPr>
    </w:p>
    <w:p w14:paraId="26822385"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Once a week, the project manager will review the data as part of quality control. The check will review the data for errors, outliers, missing fields, inconsistencies, etc.  A REDCap ‘operations manual’ will be created for this study. </w:t>
      </w:r>
    </w:p>
    <w:p w14:paraId="699970C4" w14:textId="77777777" w:rsidR="00A95DF0" w:rsidRPr="00020C67" w:rsidRDefault="00A95DF0" w:rsidP="00020C67">
      <w:pPr>
        <w:spacing w:after="0" w:line="240" w:lineRule="auto"/>
        <w:jc w:val="both"/>
        <w:rPr>
          <w:rFonts w:ascii="Cambria" w:eastAsia="Times New Roman" w:hAnsi="Cambria" w:cs="Times New Roman"/>
        </w:rPr>
      </w:pPr>
    </w:p>
    <w:p w14:paraId="3E880C09"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XI.b. Plan for management of identifiers </w:t>
      </w:r>
    </w:p>
    <w:p w14:paraId="04428047"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Limited identifying information of consented participants will be stored in a web-based REDCap database.  The REDCap server is managed by Mount Sinai IT and is firewall protected.  User access to the database for study personnel will be managed by the Study Project Managers, Nicole Kelly (EM) and Michelle Ramos (MS). Data access for study personnel will be limited to their site participants and what is required for their roles on the project.  </w:t>
      </w:r>
    </w:p>
    <w:p w14:paraId="063FD074" w14:textId="77777777" w:rsidR="00A95DF0" w:rsidRPr="00020C67" w:rsidRDefault="00A95DF0" w:rsidP="00020C67">
      <w:pPr>
        <w:spacing w:after="0" w:line="240" w:lineRule="auto"/>
        <w:jc w:val="both"/>
        <w:rPr>
          <w:rFonts w:ascii="Cambria" w:eastAsia="Times New Roman" w:hAnsi="Cambria" w:cs="Times New Roman"/>
        </w:rPr>
      </w:pPr>
    </w:p>
    <w:p w14:paraId="592CAF81"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The link between identifying information and the research code (recruitment ID and Global study ID), MRN and subject’s initials will be store</w:t>
      </w:r>
      <w:r w:rsidRPr="00381CE7">
        <w:rPr>
          <w:rFonts w:ascii="Cambria" w:eastAsia="Times New Roman" w:hAnsi="Cambria" w:cs="Times New Roman"/>
          <w:color w:val="000000"/>
        </w:rPr>
        <w:t>d in a secure file in a password-protected networked drive that sites behind Institutional firewalls. This drive is only accessible to those with approved access determined by their required roles. This linking file will only be accessible to the site project manager and principal investigator. Computerized data will be encrypted to enhance protection of confidentiality.  </w:t>
      </w:r>
    </w:p>
    <w:p w14:paraId="2255DF00" w14:textId="77777777" w:rsidR="00A95DF0" w:rsidRPr="00020C67" w:rsidRDefault="00A95DF0" w:rsidP="00020C67">
      <w:pPr>
        <w:spacing w:after="0" w:line="240" w:lineRule="auto"/>
        <w:jc w:val="both"/>
        <w:rPr>
          <w:rFonts w:ascii="Cambria" w:eastAsia="Times New Roman" w:hAnsi="Cambria" w:cs="Times New Roman"/>
        </w:rPr>
      </w:pPr>
    </w:p>
    <w:p w14:paraId="5358D57F" w14:textId="77777777" w:rsidR="00A95DF0" w:rsidRPr="00020C67" w:rsidRDefault="00A95DF0" w:rsidP="002E4320">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Any paper source documents (</w:t>
      </w:r>
      <w:r w:rsidRPr="009D7DDD">
        <w:rPr>
          <w:rFonts w:ascii="Cambria" w:eastAsia="Times New Roman" w:hAnsi="Cambria" w:cs="Times New Roman"/>
          <w:i/>
          <w:color w:val="000000"/>
        </w:rPr>
        <w:t>e.g</w:t>
      </w:r>
      <w:r w:rsidRPr="00381CE7">
        <w:rPr>
          <w:rFonts w:ascii="Cambria" w:eastAsia="Times New Roman" w:hAnsi="Cambria" w:cs="Times New Roman"/>
          <w:color w:val="000000"/>
        </w:rPr>
        <w:t xml:space="preserve">., consent forms, phenotype checklists, physician outcomes report Pre- and post-GC checklists, copies of the educational tool, results, surveys, CRC notes), anything that </w:t>
      </w:r>
      <w:r w:rsidRPr="00381CE7">
        <w:rPr>
          <w:rFonts w:ascii="Cambria" w:eastAsia="Times New Roman" w:hAnsi="Cambria" w:cs="Times New Roman"/>
          <w:color w:val="000000"/>
        </w:rPr>
        <w:lastRenderedPageBreak/>
        <w:t>is printed linked to the patient, will be kept in the subject’s research study binder. Subject binders will be kept in a locked cabinet in the project managers locked office, to which only authorized research study personnel will have access to. </w:t>
      </w:r>
    </w:p>
    <w:p w14:paraId="12034274" w14:textId="77777777" w:rsidR="00A95DF0" w:rsidRPr="00020C67" w:rsidRDefault="00A95DF0" w:rsidP="00020C67">
      <w:pPr>
        <w:spacing w:after="0" w:line="240" w:lineRule="auto"/>
        <w:jc w:val="both"/>
        <w:rPr>
          <w:rFonts w:ascii="Cambria" w:eastAsia="Times New Roman" w:hAnsi="Cambria" w:cs="Times New Roman"/>
        </w:rPr>
      </w:pPr>
    </w:p>
    <w:p w14:paraId="22192366" w14:textId="77777777" w:rsidR="00A95DF0" w:rsidRPr="00020C67" w:rsidRDefault="00A95DF0" w:rsidP="002E4320">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Subject documents will be identified by their study numbers when applicable, with the exception of any clinical documents that are part of their permanent medical record. The data obtained and stor</w:t>
      </w:r>
      <w:r w:rsidRPr="00381CE7">
        <w:rPr>
          <w:rFonts w:ascii="Cambria" w:eastAsia="Times New Roman" w:hAnsi="Cambria" w:cs="Times New Roman"/>
          <w:color w:val="000000"/>
        </w:rPr>
        <w:t>ed for this research study will also be used for standard clinical care for each subject. Only personnel directly involved in the research study will have access to this information. </w:t>
      </w:r>
    </w:p>
    <w:p w14:paraId="396FCFEE" w14:textId="77777777" w:rsidR="00A95DF0" w:rsidRPr="00020C67" w:rsidRDefault="00A95DF0" w:rsidP="00020C67">
      <w:pPr>
        <w:spacing w:after="0" w:line="240" w:lineRule="auto"/>
        <w:jc w:val="both"/>
        <w:rPr>
          <w:rFonts w:ascii="Cambria" w:eastAsia="Times New Roman" w:hAnsi="Cambria" w:cs="Times New Roman"/>
        </w:rPr>
      </w:pPr>
    </w:p>
    <w:p w14:paraId="1188A911" w14:textId="77777777"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shd w:val="clear" w:color="auto" w:fill="FFFFFF"/>
        </w:rPr>
        <w:t>Clinical research records (source documents) will be reviewed quarterly by the site project manager to ensure identifiers have been removed, as deemed necessary. Coded documents and specimens will be stored indefinitely unless the participant withdraws from the study.</w:t>
      </w:r>
      <w:r w:rsidRPr="00381CE7">
        <w:rPr>
          <w:rFonts w:ascii="Cambria" w:eastAsia="Times New Roman" w:hAnsi="Cambria" w:cs="Times New Roman"/>
          <w:color w:val="000000"/>
        </w:rPr>
        <w:t xml:space="preserve"> In the event that a subject withdraws or declines to participate at any time, their research records (source and electronic REDCap) will be purged of PHI (</w:t>
      </w:r>
      <w:r w:rsidRPr="00381CE7">
        <w:rPr>
          <w:rFonts w:ascii="Cambria" w:eastAsia="Times New Roman" w:hAnsi="Cambria" w:cs="Times New Roman"/>
          <w:i/>
          <w:iCs/>
          <w:color w:val="000000"/>
        </w:rPr>
        <w:t>e.g</w:t>
      </w:r>
      <w:r w:rsidRPr="00381CE7">
        <w:rPr>
          <w:rFonts w:ascii="Cambria" w:eastAsia="Times New Roman" w:hAnsi="Cambria" w:cs="Times New Roman"/>
          <w:color w:val="000000"/>
        </w:rPr>
        <w:t>., name, MRN, address, contact information). The site project manager will maintain the above-mentioned subject linking file (initials, MRN, and study IDs) in the event re-identification is ever needed. </w:t>
      </w:r>
    </w:p>
    <w:p w14:paraId="42CAAF37" w14:textId="77777777" w:rsidR="00A95DF0" w:rsidRPr="00020C67" w:rsidRDefault="00A95DF0" w:rsidP="00020C67">
      <w:pPr>
        <w:spacing w:after="0" w:line="240" w:lineRule="auto"/>
        <w:jc w:val="both"/>
        <w:rPr>
          <w:rFonts w:ascii="Cambria" w:eastAsia="Times New Roman" w:hAnsi="Cambria" w:cs="Times New Roman"/>
        </w:rPr>
      </w:pPr>
    </w:p>
    <w:p w14:paraId="74B0BA1A" w14:textId="0EC394CF" w:rsidR="00A95DF0" w:rsidRPr="00020C67" w:rsidRDefault="00A95DF0" w:rsidP="00020C67">
      <w:pPr>
        <w:spacing w:after="0" w:line="240" w:lineRule="auto"/>
        <w:jc w:val="both"/>
        <w:rPr>
          <w:rFonts w:ascii="Cambria" w:eastAsia="Times New Roman" w:hAnsi="Cambria" w:cs="Times New Roman"/>
        </w:rPr>
      </w:pPr>
      <w:r w:rsidRPr="009D7DDD">
        <w:rPr>
          <w:rFonts w:ascii="Cambria" w:eastAsia="Times New Roman" w:hAnsi="Cambria" w:cs="Times New Roman"/>
          <w:color w:val="000000"/>
        </w:rPr>
        <w:t>As this study involves genetic testing done for clinical (diagnostic) purposes, and the results are entered into EPIC along with the GC session notes, will be maintained in the participant’s permanent medica</w:t>
      </w:r>
      <w:r w:rsidRPr="00381CE7">
        <w:rPr>
          <w:rFonts w:ascii="Cambria" w:eastAsia="Times New Roman" w:hAnsi="Cambria" w:cs="Times New Roman"/>
          <w:color w:val="000000"/>
        </w:rPr>
        <w:t xml:space="preserve">l record, and up to 25 years as required by </w:t>
      </w:r>
      <w:r w:rsidR="00381CE7">
        <w:rPr>
          <w:rFonts w:ascii="Cambria" w:eastAsia="Times New Roman" w:hAnsi="Cambria" w:cs="Times New Roman"/>
          <w:color w:val="000000"/>
        </w:rPr>
        <w:t>EM</w:t>
      </w:r>
      <w:r w:rsidRPr="00381CE7">
        <w:rPr>
          <w:rFonts w:ascii="Cambria" w:eastAsia="Times New Roman" w:hAnsi="Cambria" w:cs="Times New Roman"/>
          <w:color w:val="000000"/>
        </w:rPr>
        <w:t xml:space="preserve"> as per Institutional policy. The remaining clinical research records including IRB documentation will be retained for at least three years after the clinical research study is completed consistent with NIH and FDA policies, or longer if required by </w:t>
      </w:r>
      <w:r w:rsidR="00381CE7">
        <w:rPr>
          <w:rFonts w:ascii="Cambria" w:eastAsia="Times New Roman" w:hAnsi="Cambria" w:cs="Times New Roman"/>
          <w:color w:val="000000"/>
        </w:rPr>
        <w:t>EM</w:t>
      </w:r>
      <w:r w:rsidRPr="00381CE7">
        <w:rPr>
          <w:rFonts w:ascii="Cambria" w:eastAsia="Times New Roman" w:hAnsi="Cambria" w:cs="Times New Roman"/>
          <w:color w:val="000000"/>
        </w:rPr>
        <w:t>. Documents will be shredded and disposed of in accordance with hospital guidelines.</w:t>
      </w:r>
    </w:p>
    <w:p w14:paraId="3AE07194" w14:textId="77777777" w:rsidR="00A95DF0" w:rsidRPr="00020C67" w:rsidRDefault="00A95DF0" w:rsidP="00020C67">
      <w:pPr>
        <w:spacing w:after="0" w:line="240" w:lineRule="auto"/>
        <w:jc w:val="both"/>
        <w:rPr>
          <w:rFonts w:ascii="Cambria" w:eastAsia="Times New Roman" w:hAnsi="Cambria" w:cs="Times New Roman"/>
        </w:rPr>
      </w:pPr>
    </w:p>
    <w:p w14:paraId="4F72179A" w14:textId="77777777" w:rsidR="00A95DF0" w:rsidRPr="00020C67" w:rsidRDefault="00A95DF0" w:rsidP="00020C67">
      <w:pPr>
        <w:spacing w:after="120" w:line="240" w:lineRule="auto"/>
        <w:jc w:val="both"/>
        <w:rPr>
          <w:rFonts w:ascii="Cambria" w:eastAsia="Times New Roman" w:hAnsi="Cambria" w:cs="Times New Roman"/>
        </w:rPr>
      </w:pPr>
      <w:r w:rsidRPr="009D7DDD">
        <w:rPr>
          <w:rFonts w:ascii="Cambria" w:eastAsia="Times New Roman" w:hAnsi="Cambria" w:cs="Times New Roman"/>
          <w:b/>
          <w:bCs/>
          <w:i/>
          <w:iCs/>
          <w:color w:val="000000"/>
        </w:rPr>
        <w:t>XI.d. Data Backups </w:t>
      </w:r>
    </w:p>
    <w:p w14:paraId="67004ACE" w14:textId="003071E4" w:rsidR="00A95DF0" w:rsidRPr="00381CE7" w:rsidRDefault="00A95DF0" w:rsidP="00020C67">
      <w:pPr>
        <w:spacing w:after="0" w:line="240" w:lineRule="auto"/>
        <w:jc w:val="both"/>
        <w:rPr>
          <w:rFonts w:ascii="Cambria" w:eastAsia="Times New Roman" w:hAnsi="Cambria" w:cs="Times New Roman"/>
          <w:color w:val="000000"/>
        </w:rPr>
      </w:pPr>
      <w:r w:rsidRPr="009D7DDD">
        <w:rPr>
          <w:rFonts w:ascii="Cambria" w:eastAsia="Times New Roman" w:hAnsi="Cambria" w:cs="Times New Roman"/>
          <w:color w:val="000000"/>
        </w:rPr>
        <w:t>Disk-to-disk backups of the operational database will be made four times daily to a warm spare server in the Data Center that is not connected to the Internet.  Monthly off-line backups will be stored on DVD in the locked backup cabinet in the Health Evidence and Policy’s IT facility in Room IMI L4-57.  These backups will be destroyed afte</w:t>
      </w:r>
      <w:r w:rsidRPr="00381CE7">
        <w:rPr>
          <w:rFonts w:ascii="Cambria" w:eastAsia="Times New Roman" w:hAnsi="Cambria" w:cs="Times New Roman"/>
          <w:color w:val="000000"/>
        </w:rPr>
        <w:t>r 90 days.  Analytical data sets with de-identified data will be stored in the same facility for the duration of the project.  The research team will only have access to their site-specific subject data. </w:t>
      </w:r>
    </w:p>
    <w:p w14:paraId="3BC67E65" w14:textId="77777777" w:rsidR="003514A8" w:rsidRPr="00020C67" w:rsidRDefault="003514A8" w:rsidP="00020C67">
      <w:pPr>
        <w:spacing w:after="0" w:line="240" w:lineRule="auto"/>
        <w:jc w:val="both"/>
        <w:rPr>
          <w:rFonts w:ascii="Cambria" w:eastAsia="Times New Roman" w:hAnsi="Cambria" w:cs="Times New Roman"/>
          <w:b/>
        </w:rPr>
      </w:pPr>
    </w:p>
    <w:p w14:paraId="7458E7B6" w14:textId="77777777" w:rsidR="003514A8" w:rsidRPr="00020C67" w:rsidRDefault="003514A8" w:rsidP="00020C67">
      <w:pPr>
        <w:spacing w:after="0" w:line="240" w:lineRule="auto"/>
        <w:jc w:val="both"/>
        <w:rPr>
          <w:rFonts w:ascii="Cambria" w:eastAsia="Times New Roman" w:hAnsi="Cambria" w:cs="Times New Roman"/>
        </w:rPr>
      </w:pPr>
    </w:p>
    <w:p w14:paraId="3D3AF3CC" w14:textId="1FD40847" w:rsidR="003514A8" w:rsidRPr="00020C67" w:rsidRDefault="003514A8" w:rsidP="00020C67">
      <w:pPr>
        <w:pStyle w:val="ListParagraph"/>
        <w:numPr>
          <w:ilvl w:val="0"/>
          <w:numId w:val="22"/>
        </w:numPr>
        <w:tabs>
          <w:tab w:val="right" w:leader="dot" w:pos="9360"/>
        </w:tabs>
        <w:spacing w:after="0" w:line="240" w:lineRule="auto"/>
        <w:jc w:val="both"/>
        <w:rPr>
          <w:rFonts w:ascii="Cambria" w:eastAsia="Times New Roman" w:hAnsi="Cambria" w:cs="Times New Roman"/>
          <w:color w:val="000000"/>
        </w:rPr>
      </w:pPr>
      <w:r w:rsidRPr="00020C67">
        <w:rPr>
          <w:rFonts w:ascii="Cambria" w:eastAsia="Calibri" w:hAnsi="Cambria" w:cs="Calibri"/>
          <w:b/>
          <w:color w:val="000000"/>
        </w:rPr>
        <w:t>Appendices</w:t>
      </w:r>
      <w:r w:rsidRPr="00020C67">
        <w:rPr>
          <w:rFonts w:ascii="Cambria" w:eastAsia="Calibri" w:hAnsi="Cambria" w:cs="Calibri"/>
          <w:b/>
          <w:color w:val="000000"/>
        </w:rPr>
        <w:tab/>
      </w:r>
    </w:p>
    <w:p w14:paraId="50AE6FC7" w14:textId="33A9DEBA"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color w:val="000000"/>
        </w:rPr>
      </w:pPr>
      <w:r w:rsidRPr="00020C67">
        <w:rPr>
          <w:rFonts w:ascii="Cambria" w:eastAsia="Calibri" w:hAnsi="Cambria" w:cs="Calibri"/>
          <w:b/>
          <w:color w:val="000000"/>
        </w:rPr>
        <w:t>Baseline Parent Survey</w:t>
      </w:r>
      <w:r w:rsidRPr="00020C67">
        <w:rPr>
          <w:rFonts w:ascii="Cambria" w:eastAsia="Calibri" w:hAnsi="Cambria" w:cs="Calibri"/>
          <w:b/>
          <w:color w:val="000000"/>
        </w:rPr>
        <w:tab/>
      </w:r>
    </w:p>
    <w:p w14:paraId="4F0304FA" w14:textId="20C9AE9A"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color w:val="000000"/>
        </w:rPr>
      </w:pPr>
      <w:r w:rsidRPr="00020C67">
        <w:rPr>
          <w:rFonts w:ascii="Cambria" w:eastAsia="Calibri" w:hAnsi="Cambria" w:cs="Calibri"/>
          <w:b/>
          <w:color w:val="000000"/>
        </w:rPr>
        <w:t>ROR1 Parent Survey</w:t>
      </w:r>
      <w:r w:rsidRPr="00020C67">
        <w:rPr>
          <w:rFonts w:ascii="Cambria" w:eastAsia="Calibri" w:hAnsi="Cambria" w:cs="Calibri"/>
          <w:b/>
          <w:color w:val="000000"/>
        </w:rPr>
        <w:tab/>
      </w:r>
    </w:p>
    <w:p w14:paraId="41E2C2F0" w14:textId="743C0656"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color w:val="000000"/>
        </w:rPr>
      </w:pPr>
      <w:r w:rsidRPr="00020C67">
        <w:rPr>
          <w:rFonts w:ascii="Cambria" w:eastAsia="Calibri" w:hAnsi="Cambria" w:cs="Calibri"/>
          <w:b/>
          <w:color w:val="000000"/>
        </w:rPr>
        <w:t>ROR2 Parent Survey</w:t>
      </w:r>
      <w:r w:rsidRPr="00020C67">
        <w:rPr>
          <w:rFonts w:ascii="Cambria" w:eastAsia="Calibri" w:hAnsi="Cambria" w:cs="Calibri"/>
          <w:b/>
          <w:color w:val="000000"/>
        </w:rPr>
        <w:tab/>
      </w:r>
    </w:p>
    <w:p w14:paraId="50C3822F" w14:textId="7A0E1BA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color w:val="000000"/>
        </w:rPr>
      </w:pPr>
      <w:r w:rsidRPr="00020C67">
        <w:rPr>
          <w:rFonts w:ascii="Cambria" w:eastAsia="Times New Roman" w:hAnsi="Cambria" w:cs="Times New Roman"/>
          <w:b/>
          <w:color w:val="000000"/>
        </w:rPr>
        <w:t>Decliner Parent Survey *</w:t>
      </w:r>
      <w:r w:rsidRPr="00020C67">
        <w:rPr>
          <w:rFonts w:ascii="Cambria" w:eastAsia="Times New Roman" w:hAnsi="Cambria" w:cs="Times New Roman"/>
          <w:b/>
          <w:color w:val="000000"/>
        </w:rPr>
        <w:tab/>
      </w:r>
    </w:p>
    <w:p w14:paraId="77661E9D"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Calibri" w:hAnsi="Cambria" w:cs="Calibri"/>
          <w:b/>
        </w:rPr>
        <w:t>Recruitment/Study Information Brochure*</w:t>
      </w:r>
      <w:r w:rsidRPr="00020C67">
        <w:rPr>
          <w:rFonts w:ascii="Cambria" w:eastAsia="Calibri" w:hAnsi="Cambria" w:cs="Calibri"/>
          <w:b/>
        </w:rPr>
        <w:tab/>
      </w:r>
    </w:p>
    <w:p w14:paraId="23B154AA" w14:textId="211D753A"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Calibri" w:hAnsi="Cambria" w:cs="Calibri"/>
          <w:b/>
        </w:rPr>
        <w:t xml:space="preserve">In-Person Recruitment </w:t>
      </w:r>
      <w:r w:rsidR="00255333" w:rsidRPr="00020C67">
        <w:rPr>
          <w:rFonts w:ascii="Cambria" w:eastAsia="Calibri" w:hAnsi="Cambria" w:cs="Calibri"/>
          <w:b/>
        </w:rPr>
        <w:t>S</w:t>
      </w:r>
      <w:r w:rsidRPr="00020C67">
        <w:rPr>
          <w:rFonts w:ascii="Cambria" w:eastAsia="Calibri" w:hAnsi="Cambria" w:cs="Calibri"/>
          <w:b/>
        </w:rPr>
        <w:t xml:space="preserve">cript for </w:t>
      </w:r>
      <w:r w:rsidR="00255333" w:rsidRPr="00020C67">
        <w:rPr>
          <w:rFonts w:ascii="Cambria" w:eastAsia="Calibri" w:hAnsi="Cambria" w:cs="Calibri"/>
          <w:b/>
        </w:rPr>
        <w:t>Cl</w:t>
      </w:r>
      <w:r w:rsidRPr="00020C67">
        <w:rPr>
          <w:rFonts w:ascii="Cambria" w:eastAsia="Calibri" w:hAnsi="Cambria" w:cs="Calibri"/>
          <w:b/>
        </w:rPr>
        <w:t xml:space="preserve">inical </w:t>
      </w:r>
      <w:r w:rsidR="00255333" w:rsidRPr="00020C67">
        <w:rPr>
          <w:rFonts w:ascii="Cambria" w:eastAsia="Calibri" w:hAnsi="Cambria" w:cs="Calibri"/>
          <w:b/>
        </w:rPr>
        <w:t>R</w:t>
      </w:r>
      <w:r w:rsidRPr="00020C67">
        <w:rPr>
          <w:rFonts w:ascii="Cambria" w:eastAsia="Calibri" w:hAnsi="Cambria" w:cs="Calibri"/>
          <w:b/>
        </w:rPr>
        <w:t xml:space="preserve">esearch </w:t>
      </w:r>
      <w:r w:rsidR="00255333" w:rsidRPr="00020C67">
        <w:rPr>
          <w:rFonts w:ascii="Cambria" w:eastAsia="Calibri" w:hAnsi="Cambria" w:cs="Calibri"/>
          <w:b/>
        </w:rPr>
        <w:t>C</w:t>
      </w:r>
      <w:r w:rsidRPr="00020C67">
        <w:rPr>
          <w:rFonts w:ascii="Cambria" w:eastAsia="Calibri" w:hAnsi="Cambria" w:cs="Calibri"/>
          <w:b/>
        </w:rPr>
        <w:t>oordinators*…</w:t>
      </w:r>
      <w:r w:rsidRPr="00020C67">
        <w:rPr>
          <w:rFonts w:ascii="Cambria" w:eastAsia="Calibri" w:hAnsi="Cambria" w:cs="Calibri"/>
          <w:b/>
        </w:rPr>
        <w:tab/>
      </w:r>
    </w:p>
    <w:p w14:paraId="6509B953" w14:textId="313F44E4"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Calibri" w:hAnsi="Cambria" w:cs="Calibri"/>
          <w:b/>
        </w:rPr>
        <w:t xml:space="preserve">Phone </w:t>
      </w:r>
      <w:r w:rsidR="00255333" w:rsidRPr="00020C67">
        <w:rPr>
          <w:rFonts w:ascii="Cambria" w:eastAsia="Calibri" w:hAnsi="Cambria" w:cs="Calibri"/>
          <w:b/>
        </w:rPr>
        <w:t>R</w:t>
      </w:r>
      <w:r w:rsidRPr="00020C67">
        <w:rPr>
          <w:rFonts w:ascii="Cambria" w:eastAsia="Calibri" w:hAnsi="Cambria" w:cs="Calibri"/>
          <w:b/>
        </w:rPr>
        <w:t xml:space="preserve">ecruitment </w:t>
      </w:r>
      <w:r w:rsidR="00255333" w:rsidRPr="00020C67">
        <w:rPr>
          <w:rFonts w:ascii="Cambria" w:eastAsia="Calibri" w:hAnsi="Cambria" w:cs="Calibri"/>
          <w:b/>
        </w:rPr>
        <w:t>S</w:t>
      </w:r>
      <w:r w:rsidRPr="00020C67">
        <w:rPr>
          <w:rFonts w:ascii="Cambria" w:eastAsia="Calibri" w:hAnsi="Cambria" w:cs="Calibri"/>
          <w:b/>
        </w:rPr>
        <w:t>cript</w:t>
      </w:r>
      <w:r w:rsidR="00255333" w:rsidRPr="00020C67">
        <w:rPr>
          <w:rFonts w:ascii="Cambria" w:eastAsia="Calibri" w:hAnsi="Cambria" w:cs="Calibri"/>
          <w:b/>
        </w:rPr>
        <w:t>/Telehealth Screener</w:t>
      </w:r>
      <w:r w:rsidRPr="00020C67">
        <w:rPr>
          <w:rFonts w:ascii="Cambria" w:eastAsia="Calibri" w:hAnsi="Cambria" w:cs="Calibri"/>
          <w:b/>
        </w:rPr>
        <w:t xml:space="preserve"> for </w:t>
      </w:r>
      <w:r w:rsidR="00255333" w:rsidRPr="00020C67">
        <w:rPr>
          <w:rFonts w:ascii="Cambria" w:eastAsia="Calibri" w:hAnsi="Cambria" w:cs="Calibri"/>
          <w:b/>
        </w:rPr>
        <w:t>C</w:t>
      </w:r>
      <w:r w:rsidRPr="00020C67">
        <w:rPr>
          <w:rFonts w:ascii="Cambria" w:eastAsia="Calibri" w:hAnsi="Cambria" w:cs="Calibri"/>
          <w:b/>
        </w:rPr>
        <w:t xml:space="preserve">linical </w:t>
      </w:r>
      <w:r w:rsidR="00255333" w:rsidRPr="00020C67">
        <w:rPr>
          <w:rFonts w:ascii="Cambria" w:eastAsia="Calibri" w:hAnsi="Cambria" w:cs="Calibri"/>
          <w:b/>
        </w:rPr>
        <w:t>R</w:t>
      </w:r>
      <w:r w:rsidRPr="00020C67">
        <w:rPr>
          <w:rFonts w:ascii="Cambria" w:eastAsia="Calibri" w:hAnsi="Cambria" w:cs="Calibri"/>
          <w:b/>
        </w:rPr>
        <w:t xml:space="preserve">esearch </w:t>
      </w:r>
      <w:r w:rsidR="00255333" w:rsidRPr="00020C67">
        <w:rPr>
          <w:rFonts w:ascii="Cambria" w:eastAsia="Calibri" w:hAnsi="Cambria" w:cs="Calibri"/>
          <w:b/>
        </w:rPr>
        <w:t>C</w:t>
      </w:r>
      <w:r w:rsidRPr="00020C67">
        <w:rPr>
          <w:rFonts w:ascii="Cambria" w:eastAsia="Calibri" w:hAnsi="Cambria" w:cs="Calibri"/>
          <w:b/>
        </w:rPr>
        <w:t>oordinators*…</w:t>
      </w:r>
      <w:r w:rsidRPr="00020C67">
        <w:rPr>
          <w:rFonts w:ascii="Cambria" w:eastAsia="Calibri" w:hAnsi="Cambria" w:cs="Calibri"/>
          <w:b/>
        </w:rPr>
        <w:tab/>
      </w:r>
    </w:p>
    <w:p w14:paraId="41178E80"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Baseline consent/survey reminder letter*</w:t>
      </w:r>
      <w:r w:rsidRPr="00020C67">
        <w:rPr>
          <w:rFonts w:ascii="Cambria" w:eastAsia="Times New Roman" w:hAnsi="Cambria" w:cs="Times New Roman"/>
          <w:b/>
        </w:rPr>
        <w:tab/>
      </w:r>
    </w:p>
    <w:p w14:paraId="3FC2AD2D"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Baseline GC visit reminder letter*</w:t>
      </w:r>
      <w:r w:rsidRPr="00020C67">
        <w:rPr>
          <w:rFonts w:ascii="Cambria" w:eastAsia="Times New Roman" w:hAnsi="Cambria" w:cs="Times New Roman"/>
          <w:b/>
        </w:rPr>
        <w:tab/>
        <w:t xml:space="preserve"> </w:t>
      </w:r>
    </w:p>
    <w:p w14:paraId="2A7A67AC"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R0R1 reminder letter*</w:t>
      </w:r>
      <w:r w:rsidRPr="00020C67">
        <w:rPr>
          <w:rFonts w:ascii="Cambria" w:eastAsia="Times New Roman" w:hAnsi="Cambria" w:cs="Times New Roman"/>
          <w:b/>
        </w:rPr>
        <w:tab/>
      </w:r>
    </w:p>
    <w:p w14:paraId="34E80089"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R0R2 reminder letter*</w:t>
      </w:r>
      <w:r w:rsidRPr="00020C67">
        <w:rPr>
          <w:rFonts w:ascii="Cambria" w:eastAsia="Times New Roman" w:hAnsi="Cambria" w:cs="Times New Roman"/>
          <w:b/>
        </w:rPr>
        <w:tab/>
      </w:r>
    </w:p>
    <w:p w14:paraId="43695372"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Baseline consent/survey no show letter*</w:t>
      </w:r>
      <w:r w:rsidRPr="00020C67">
        <w:rPr>
          <w:rFonts w:ascii="Cambria" w:eastAsia="Times New Roman" w:hAnsi="Cambria" w:cs="Times New Roman"/>
          <w:b/>
        </w:rPr>
        <w:tab/>
      </w:r>
    </w:p>
    <w:p w14:paraId="3AB327C9"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Baseline GC visit no show letter*</w:t>
      </w:r>
      <w:r w:rsidRPr="00020C67">
        <w:rPr>
          <w:rFonts w:ascii="Cambria" w:eastAsia="Times New Roman" w:hAnsi="Cambria" w:cs="Times New Roman"/>
          <w:b/>
        </w:rPr>
        <w:tab/>
      </w:r>
    </w:p>
    <w:p w14:paraId="060A2F07"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lastRenderedPageBreak/>
        <w:t>R0R1 no show letter*</w:t>
      </w:r>
      <w:r w:rsidRPr="00020C67">
        <w:rPr>
          <w:rFonts w:ascii="Cambria" w:eastAsia="Times New Roman" w:hAnsi="Cambria" w:cs="Times New Roman"/>
          <w:b/>
        </w:rPr>
        <w:tab/>
      </w:r>
    </w:p>
    <w:p w14:paraId="4FBACD53"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ROR2 no show letter*</w:t>
      </w:r>
      <w:r w:rsidRPr="00020C67">
        <w:rPr>
          <w:rFonts w:ascii="Cambria" w:eastAsia="Times New Roman" w:hAnsi="Cambria" w:cs="Times New Roman"/>
          <w:b/>
        </w:rPr>
        <w:tab/>
      </w:r>
    </w:p>
    <w:p w14:paraId="4C63C251"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Holiday card*</w:t>
      </w:r>
      <w:r w:rsidRPr="00020C67">
        <w:rPr>
          <w:rFonts w:ascii="Cambria" w:eastAsia="Times New Roman" w:hAnsi="Cambria" w:cs="Times New Roman"/>
          <w:b/>
        </w:rPr>
        <w:tab/>
      </w:r>
    </w:p>
    <w:p w14:paraId="2A227D1C"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Birthday card*</w:t>
      </w:r>
      <w:r w:rsidRPr="00020C67">
        <w:rPr>
          <w:rFonts w:ascii="Cambria" w:eastAsia="Times New Roman" w:hAnsi="Cambria" w:cs="Times New Roman"/>
          <w:b/>
        </w:rPr>
        <w:tab/>
      </w:r>
    </w:p>
    <w:p w14:paraId="0826734B"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Physician study bullet points</w:t>
      </w:r>
      <w:r w:rsidRPr="00020C67">
        <w:rPr>
          <w:rFonts w:ascii="Cambria" w:eastAsia="Times New Roman" w:hAnsi="Cambria" w:cs="Times New Roman"/>
          <w:b/>
        </w:rPr>
        <w:tab/>
      </w:r>
    </w:p>
    <w:p w14:paraId="4621A8BC" w14:textId="77777777" w:rsidR="003514A8" w:rsidRPr="00020C67" w:rsidRDefault="003514A8" w:rsidP="00020C67">
      <w:pPr>
        <w:numPr>
          <w:ilvl w:val="1"/>
          <w:numId w:val="22"/>
        </w:numPr>
        <w:tabs>
          <w:tab w:val="right" w:leader="dot" w:pos="9360"/>
        </w:tabs>
        <w:spacing w:after="0" w:line="240" w:lineRule="auto"/>
        <w:jc w:val="both"/>
        <w:rPr>
          <w:rFonts w:ascii="Cambria" w:eastAsia="Times New Roman" w:hAnsi="Cambria" w:cs="Times New Roman"/>
        </w:rPr>
      </w:pPr>
      <w:r w:rsidRPr="00020C67">
        <w:rPr>
          <w:rFonts w:ascii="Cambria" w:eastAsia="Times New Roman" w:hAnsi="Cambria" w:cs="Times New Roman"/>
          <w:b/>
        </w:rPr>
        <w:t>Physician phenotype checklist</w:t>
      </w:r>
      <w:r w:rsidRPr="00020C67">
        <w:rPr>
          <w:rFonts w:ascii="Cambria" w:eastAsia="Times New Roman" w:hAnsi="Cambria" w:cs="Times New Roman"/>
          <w:b/>
        </w:rPr>
        <w:tab/>
      </w:r>
    </w:p>
    <w:p w14:paraId="14531FBF" w14:textId="77777777" w:rsidR="003514A8" w:rsidRPr="00020C67" w:rsidRDefault="003514A8" w:rsidP="00020C67">
      <w:pPr>
        <w:numPr>
          <w:ilvl w:val="1"/>
          <w:numId w:val="22"/>
        </w:numPr>
        <w:tabs>
          <w:tab w:val="right" w:leader="dot" w:pos="9360"/>
        </w:tabs>
        <w:spacing w:after="0" w:line="240" w:lineRule="auto"/>
        <w:jc w:val="both"/>
        <w:rPr>
          <w:rFonts w:ascii="Cambria" w:eastAsia="Calibri" w:hAnsi="Cambria" w:cs="Calibri"/>
          <w:b/>
        </w:rPr>
      </w:pPr>
      <w:r w:rsidRPr="00020C67">
        <w:rPr>
          <w:rFonts w:ascii="Cambria" w:eastAsia="Calibri" w:hAnsi="Cambria"/>
          <w:b/>
        </w:rPr>
        <w:t>Referring physician opinion and recommendations</w:t>
      </w:r>
      <w:r w:rsidRPr="00020C67">
        <w:rPr>
          <w:rFonts w:ascii="Cambria" w:eastAsia="Calibri" w:hAnsi="Cambria" w:cs="Calibri"/>
          <w:b/>
        </w:rPr>
        <w:tab/>
      </w:r>
    </w:p>
    <w:p w14:paraId="53F5A7FF" w14:textId="77777777" w:rsidR="003514A8" w:rsidRPr="00020C67" w:rsidRDefault="003514A8" w:rsidP="00020C67">
      <w:pPr>
        <w:numPr>
          <w:ilvl w:val="1"/>
          <w:numId w:val="22"/>
        </w:numPr>
        <w:tabs>
          <w:tab w:val="right" w:leader="dot" w:pos="9360"/>
        </w:tabs>
        <w:spacing w:after="0" w:line="240" w:lineRule="auto"/>
        <w:jc w:val="both"/>
        <w:rPr>
          <w:rFonts w:ascii="Cambria" w:eastAsia="Calibri" w:hAnsi="Cambria" w:cs="Calibri"/>
          <w:b/>
        </w:rPr>
      </w:pPr>
      <w:r w:rsidRPr="00020C67">
        <w:rPr>
          <w:rFonts w:ascii="Cambria" w:eastAsia="Calibri" w:hAnsi="Cambria" w:cs="Calibri"/>
          <w:b/>
        </w:rPr>
        <w:t>Pre-test GC checklist</w:t>
      </w:r>
      <w:r w:rsidRPr="00020C67">
        <w:rPr>
          <w:rFonts w:ascii="Cambria" w:eastAsia="Calibri" w:hAnsi="Cambria" w:cs="Calibri"/>
          <w:b/>
        </w:rPr>
        <w:tab/>
      </w:r>
    </w:p>
    <w:p w14:paraId="123AB1AA" w14:textId="77777777" w:rsidR="003514A8" w:rsidRPr="00020C67" w:rsidRDefault="003514A8" w:rsidP="00020C67">
      <w:pPr>
        <w:numPr>
          <w:ilvl w:val="1"/>
          <w:numId w:val="22"/>
        </w:numPr>
        <w:tabs>
          <w:tab w:val="right" w:leader="dot" w:pos="9360"/>
        </w:tabs>
        <w:spacing w:after="0" w:line="240" w:lineRule="auto"/>
        <w:jc w:val="both"/>
        <w:rPr>
          <w:rFonts w:ascii="Cambria" w:eastAsia="Calibri" w:hAnsi="Cambria" w:cs="Calibri"/>
          <w:b/>
        </w:rPr>
      </w:pPr>
      <w:r w:rsidRPr="00020C67">
        <w:rPr>
          <w:rFonts w:ascii="Cambria" w:eastAsia="Calibri" w:hAnsi="Cambria" w:cs="Calibri"/>
          <w:b/>
        </w:rPr>
        <w:t>Post-test GC checklist</w:t>
      </w:r>
      <w:r w:rsidRPr="00020C67">
        <w:rPr>
          <w:rFonts w:ascii="Cambria" w:eastAsia="Calibri" w:hAnsi="Cambria" w:cs="Calibri"/>
          <w:b/>
        </w:rPr>
        <w:tab/>
      </w:r>
    </w:p>
    <w:p w14:paraId="70BE79EE" w14:textId="77777777" w:rsidR="003514A8" w:rsidRPr="00020C67" w:rsidRDefault="003514A8" w:rsidP="00020C67">
      <w:pPr>
        <w:numPr>
          <w:ilvl w:val="1"/>
          <w:numId w:val="22"/>
        </w:numPr>
        <w:tabs>
          <w:tab w:val="right" w:leader="dot" w:pos="9360"/>
        </w:tabs>
        <w:spacing w:after="0" w:line="240" w:lineRule="auto"/>
        <w:jc w:val="both"/>
        <w:rPr>
          <w:rFonts w:ascii="Cambria" w:eastAsia="Calibri" w:hAnsi="Cambria" w:cs="Calibri"/>
          <w:b/>
        </w:rPr>
      </w:pPr>
      <w:r w:rsidRPr="00020C67">
        <w:rPr>
          <w:rFonts w:ascii="Cambria" w:eastAsia="Calibri" w:hAnsi="Cambria" w:cs="Calibri"/>
          <w:b/>
        </w:rPr>
        <w:t>Participant package inserts</w:t>
      </w:r>
      <w:r w:rsidRPr="00020C67">
        <w:rPr>
          <w:rFonts w:ascii="Cambria" w:eastAsia="Calibri" w:hAnsi="Cambria" w:cs="Calibri"/>
          <w:b/>
        </w:rPr>
        <w:tab/>
      </w:r>
    </w:p>
    <w:p w14:paraId="5658A1FC" w14:textId="77777777" w:rsidR="003514A8" w:rsidRPr="00020C67" w:rsidRDefault="003514A8" w:rsidP="00020C67">
      <w:pPr>
        <w:numPr>
          <w:ilvl w:val="1"/>
          <w:numId w:val="22"/>
        </w:numPr>
        <w:tabs>
          <w:tab w:val="right" w:leader="dot" w:pos="9360"/>
        </w:tabs>
        <w:spacing w:after="0" w:line="240" w:lineRule="auto"/>
        <w:jc w:val="both"/>
        <w:rPr>
          <w:rFonts w:ascii="Cambria" w:eastAsia="Calibri" w:hAnsi="Cambria" w:cs="Calibri"/>
          <w:b/>
        </w:rPr>
      </w:pPr>
      <w:r w:rsidRPr="00020C67">
        <w:rPr>
          <w:rFonts w:ascii="Cambria" w:eastAsia="Calibri" w:hAnsi="Cambria" w:cs="Calibri"/>
          <w:b/>
        </w:rPr>
        <w:t>GUIA mock-up</w:t>
      </w:r>
      <w:r w:rsidRPr="00020C67">
        <w:rPr>
          <w:rFonts w:ascii="Cambria" w:eastAsia="Calibri" w:hAnsi="Cambria" w:cs="Calibri"/>
          <w:b/>
        </w:rPr>
        <w:tab/>
      </w:r>
    </w:p>
    <w:p w14:paraId="1142B534" w14:textId="4A936CF1" w:rsidR="00B04610" w:rsidRPr="00020C67" w:rsidRDefault="003514A8" w:rsidP="00020C67">
      <w:pPr>
        <w:numPr>
          <w:ilvl w:val="1"/>
          <w:numId w:val="22"/>
        </w:numPr>
        <w:tabs>
          <w:tab w:val="right" w:leader="dot" w:pos="9360"/>
        </w:tabs>
        <w:spacing w:after="0" w:line="240" w:lineRule="auto"/>
        <w:jc w:val="both"/>
        <w:rPr>
          <w:rFonts w:ascii="Cambria" w:eastAsia="Calibri" w:hAnsi="Cambria" w:cs="Calibri"/>
          <w:b/>
        </w:rPr>
      </w:pPr>
      <w:r w:rsidRPr="00020C67">
        <w:rPr>
          <w:rFonts w:ascii="Cambria" w:eastAsia="Calibri" w:hAnsi="Cambria" w:cs="Calibri"/>
          <w:b/>
        </w:rPr>
        <w:t>NYGC CLIA certificate</w:t>
      </w:r>
      <w:r w:rsidRPr="00020C67">
        <w:rPr>
          <w:rFonts w:ascii="Cambria" w:eastAsia="Calibri" w:hAnsi="Cambria" w:cs="Calibri"/>
          <w:b/>
        </w:rPr>
        <w:tab/>
      </w:r>
    </w:p>
    <w:sectPr w:rsidR="00B04610" w:rsidRPr="00020C67" w:rsidSect="00C17DE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7E8D7" w14:textId="77777777" w:rsidR="00AB6B2A" w:rsidRDefault="00AB6B2A" w:rsidP="00E35907">
      <w:pPr>
        <w:spacing w:after="0" w:line="240" w:lineRule="auto"/>
      </w:pPr>
      <w:r>
        <w:separator/>
      </w:r>
    </w:p>
  </w:endnote>
  <w:endnote w:type="continuationSeparator" w:id="0">
    <w:p w14:paraId="15AA2D7E" w14:textId="77777777" w:rsidR="00AB6B2A" w:rsidRDefault="00AB6B2A" w:rsidP="00E3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37937409"/>
      <w:docPartObj>
        <w:docPartGallery w:val="Page Numbers (Bottom of Page)"/>
        <w:docPartUnique/>
      </w:docPartObj>
    </w:sdtPr>
    <w:sdtEndPr>
      <w:rPr>
        <w:rStyle w:val="PageNumber"/>
      </w:rPr>
    </w:sdtEndPr>
    <w:sdtContent>
      <w:p w14:paraId="335F1DD0" w14:textId="313176A6" w:rsidR="008C616C" w:rsidRDefault="008C616C" w:rsidP="00E359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D01268" w14:textId="77777777" w:rsidR="008C616C" w:rsidRDefault="008C616C" w:rsidP="003C43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233644"/>
      <w:docPartObj>
        <w:docPartGallery w:val="Page Numbers (Bottom of Page)"/>
        <w:docPartUnique/>
      </w:docPartObj>
    </w:sdtPr>
    <w:sdtEndPr>
      <w:rPr>
        <w:noProof/>
      </w:rPr>
    </w:sdtEndPr>
    <w:sdtContent>
      <w:p w14:paraId="11A1597A" w14:textId="7B83E857" w:rsidR="008F4AC7" w:rsidRDefault="008F4AC7">
        <w:pPr>
          <w:pStyle w:val="Footer"/>
          <w:jc w:val="right"/>
        </w:pPr>
        <w:r>
          <w:fldChar w:fldCharType="begin"/>
        </w:r>
        <w:r>
          <w:instrText xml:space="preserve"> PAGE   \* MERGEFORMAT </w:instrText>
        </w:r>
        <w:r>
          <w:fldChar w:fldCharType="separate"/>
        </w:r>
        <w:r w:rsidR="009003D1">
          <w:rPr>
            <w:noProof/>
          </w:rPr>
          <w:t>1</w:t>
        </w:r>
        <w:r>
          <w:rPr>
            <w:noProof/>
          </w:rPr>
          <w:fldChar w:fldCharType="end"/>
        </w:r>
      </w:p>
    </w:sdtContent>
  </w:sdt>
  <w:p w14:paraId="50EBCF88" w14:textId="77777777" w:rsidR="008C616C" w:rsidRDefault="008C616C" w:rsidP="00CA4A9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4A54" w14:textId="77777777" w:rsidR="008F4AC7" w:rsidRDefault="008F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79BF8" w14:textId="77777777" w:rsidR="00AB6B2A" w:rsidRDefault="00AB6B2A" w:rsidP="00E35907">
      <w:pPr>
        <w:spacing w:after="0" w:line="240" w:lineRule="auto"/>
      </w:pPr>
      <w:r>
        <w:separator/>
      </w:r>
    </w:p>
  </w:footnote>
  <w:footnote w:type="continuationSeparator" w:id="0">
    <w:p w14:paraId="057A2742" w14:textId="77777777" w:rsidR="00AB6B2A" w:rsidRDefault="00AB6B2A" w:rsidP="00E3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1AACF" w14:textId="77777777" w:rsidR="008F4AC7" w:rsidRDefault="008F4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EEB38" w14:textId="77777777" w:rsidR="008F4AC7" w:rsidRDefault="008F4A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0A14C" w14:textId="77777777" w:rsidR="008F4AC7" w:rsidRDefault="008F4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3B6"/>
    <w:multiLevelType w:val="hybridMultilevel"/>
    <w:tmpl w:val="B702735E"/>
    <w:lvl w:ilvl="0" w:tplc="39B4270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13470"/>
    <w:multiLevelType w:val="multilevel"/>
    <w:tmpl w:val="1020E718"/>
    <w:lvl w:ilvl="0">
      <w:start w:val="1"/>
      <w:numFmt w:val="upperRoman"/>
      <w:lvlText w:val="%1."/>
      <w:lvlJc w:val="right"/>
      <w:pPr>
        <w:ind w:left="450" w:hanging="360"/>
      </w:pPr>
      <w:rPr>
        <w:b/>
        <w:sz w:val="24"/>
        <w:szCs w:val="24"/>
      </w:rPr>
    </w:lvl>
    <w:lvl w:ilvl="1">
      <w:start w:val="1"/>
      <w:numFmt w:val="lowerLetter"/>
      <w:lvlText w:val="%2."/>
      <w:lvlJc w:val="left"/>
      <w:pPr>
        <w:ind w:left="1440" w:hanging="360"/>
      </w:pPr>
      <w:rPr>
        <w:b w:val="0"/>
        <w:i w:val="0"/>
        <w:color w:val="auto"/>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5D1B8F"/>
    <w:multiLevelType w:val="multilevel"/>
    <w:tmpl w:val="061C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55B59"/>
    <w:multiLevelType w:val="hybridMultilevel"/>
    <w:tmpl w:val="83BAF932"/>
    <w:lvl w:ilvl="0" w:tplc="9530004A">
      <w:start w:val="10"/>
      <w:numFmt w:val="upperRoman"/>
      <w:lvlText w:val="%1."/>
      <w:lvlJc w:val="right"/>
      <w:pPr>
        <w:tabs>
          <w:tab w:val="num" w:pos="720"/>
        </w:tabs>
        <w:ind w:left="720" w:hanging="360"/>
      </w:pPr>
    </w:lvl>
    <w:lvl w:ilvl="1" w:tplc="5816A4D0" w:tentative="1">
      <w:start w:val="1"/>
      <w:numFmt w:val="decimal"/>
      <w:lvlText w:val="%2."/>
      <w:lvlJc w:val="left"/>
      <w:pPr>
        <w:tabs>
          <w:tab w:val="num" w:pos="1440"/>
        </w:tabs>
        <w:ind w:left="1440" w:hanging="360"/>
      </w:pPr>
    </w:lvl>
    <w:lvl w:ilvl="2" w:tplc="39C0CF26" w:tentative="1">
      <w:start w:val="1"/>
      <w:numFmt w:val="decimal"/>
      <w:lvlText w:val="%3."/>
      <w:lvlJc w:val="left"/>
      <w:pPr>
        <w:tabs>
          <w:tab w:val="num" w:pos="2160"/>
        </w:tabs>
        <w:ind w:left="2160" w:hanging="360"/>
      </w:pPr>
    </w:lvl>
    <w:lvl w:ilvl="3" w:tplc="8E84FBCA" w:tentative="1">
      <w:start w:val="1"/>
      <w:numFmt w:val="decimal"/>
      <w:lvlText w:val="%4."/>
      <w:lvlJc w:val="left"/>
      <w:pPr>
        <w:tabs>
          <w:tab w:val="num" w:pos="2880"/>
        </w:tabs>
        <w:ind w:left="2880" w:hanging="360"/>
      </w:pPr>
    </w:lvl>
    <w:lvl w:ilvl="4" w:tplc="1402117C" w:tentative="1">
      <w:start w:val="1"/>
      <w:numFmt w:val="decimal"/>
      <w:lvlText w:val="%5."/>
      <w:lvlJc w:val="left"/>
      <w:pPr>
        <w:tabs>
          <w:tab w:val="num" w:pos="3600"/>
        </w:tabs>
        <w:ind w:left="3600" w:hanging="360"/>
      </w:pPr>
    </w:lvl>
    <w:lvl w:ilvl="5" w:tplc="47E8E878" w:tentative="1">
      <w:start w:val="1"/>
      <w:numFmt w:val="decimal"/>
      <w:lvlText w:val="%6."/>
      <w:lvlJc w:val="left"/>
      <w:pPr>
        <w:tabs>
          <w:tab w:val="num" w:pos="4320"/>
        </w:tabs>
        <w:ind w:left="4320" w:hanging="360"/>
      </w:pPr>
    </w:lvl>
    <w:lvl w:ilvl="6" w:tplc="C75A6ACC" w:tentative="1">
      <w:start w:val="1"/>
      <w:numFmt w:val="decimal"/>
      <w:lvlText w:val="%7."/>
      <w:lvlJc w:val="left"/>
      <w:pPr>
        <w:tabs>
          <w:tab w:val="num" w:pos="5040"/>
        </w:tabs>
        <w:ind w:left="5040" w:hanging="360"/>
      </w:pPr>
    </w:lvl>
    <w:lvl w:ilvl="7" w:tplc="B5062048" w:tentative="1">
      <w:start w:val="1"/>
      <w:numFmt w:val="decimal"/>
      <w:lvlText w:val="%8."/>
      <w:lvlJc w:val="left"/>
      <w:pPr>
        <w:tabs>
          <w:tab w:val="num" w:pos="5760"/>
        </w:tabs>
        <w:ind w:left="5760" w:hanging="360"/>
      </w:pPr>
    </w:lvl>
    <w:lvl w:ilvl="8" w:tplc="D3DA13A4" w:tentative="1">
      <w:start w:val="1"/>
      <w:numFmt w:val="decimal"/>
      <w:lvlText w:val="%9."/>
      <w:lvlJc w:val="left"/>
      <w:pPr>
        <w:tabs>
          <w:tab w:val="num" w:pos="6480"/>
        </w:tabs>
        <w:ind w:left="6480" w:hanging="360"/>
      </w:pPr>
    </w:lvl>
  </w:abstractNum>
  <w:abstractNum w:abstractNumId="4" w15:restartNumberingAfterBreak="0">
    <w:nsid w:val="235E110F"/>
    <w:multiLevelType w:val="hybridMultilevel"/>
    <w:tmpl w:val="25B4AF26"/>
    <w:lvl w:ilvl="0" w:tplc="D4543ACA">
      <w:start w:val="5"/>
      <w:numFmt w:val="upperRoman"/>
      <w:lvlText w:val="%1."/>
      <w:lvlJc w:val="right"/>
      <w:pPr>
        <w:tabs>
          <w:tab w:val="num" w:pos="720"/>
        </w:tabs>
        <w:ind w:left="720" w:hanging="360"/>
      </w:pPr>
    </w:lvl>
    <w:lvl w:ilvl="1" w:tplc="CF3A8250" w:tentative="1">
      <w:start w:val="1"/>
      <w:numFmt w:val="decimal"/>
      <w:lvlText w:val="%2."/>
      <w:lvlJc w:val="left"/>
      <w:pPr>
        <w:tabs>
          <w:tab w:val="num" w:pos="1440"/>
        </w:tabs>
        <w:ind w:left="1440" w:hanging="360"/>
      </w:pPr>
    </w:lvl>
    <w:lvl w:ilvl="2" w:tplc="C4F6B094" w:tentative="1">
      <w:start w:val="1"/>
      <w:numFmt w:val="decimal"/>
      <w:lvlText w:val="%3."/>
      <w:lvlJc w:val="left"/>
      <w:pPr>
        <w:tabs>
          <w:tab w:val="num" w:pos="2160"/>
        </w:tabs>
        <w:ind w:left="2160" w:hanging="360"/>
      </w:pPr>
    </w:lvl>
    <w:lvl w:ilvl="3" w:tplc="BE569FF8" w:tentative="1">
      <w:start w:val="1"/>
      <w:numFmt w:val="decimal"/>
      <w:lvlText w:val="%4."/>
      <w:lvlJc w:val="left"/>
      <w:pPr>
        <w:tabs>
          <w:tab w:val="num" w:pos="2880"/>
        </w:tabs>
        <w:ind w:left="2880" w:hanging="360"/>
      </w:pPr>
    </w:lvl>
    <w:lvl w:ilvl="4" w:tplc="94BEC17E" w:tentative="1">
      <w:start w:val="1"/>
      <w:numFmt w:val="decimal"/>
      <w:lvlText w:val="%5."/>
      <w:lvlJc w:val="left"/>
      <w:pPr>
        <w:tabs>
          <w:tab w:val="num" w:pos="3600"/>
        </w:tabs>
        <w:ind w:left="3600" w:hanging="360"/>
      </w:pPr>
    </w:lvl>
    <w:lvl w:ilvl="5" w:tplc="B04E19BC" w:tentative="1">
      <w:start w:val="1"/>
      <w:numFmt w:val="decimal"/>
      <w:lvlText w:val="%6."/>
      <w:lvlJc w:val="left"/>
      <w:pPr>
        <w:tabs>
          <w:tab w:val="num" w:pos="4320"/>
        </w:tabs>
        <w:ind w:left="4320" w:hanging="360"/>
      </w:pPr>
    </w:lvl>
    <w:lvl w:ilvl="6" w:tplc="8894059C" w:tentative="1">
      <w:start w:val="1"/>
      <w:numFmt w:val="decimal"/>
      <w:lvlText w:val="%7."/>
      <w:lvlJc w:val="left"/>
      <w:pPr>
        <w:tabs>
          <w:tab w:val="num" w:pos="5040"/>
        </w:tabs>
        <w:ind w:left="5040" w:hanging="360"/>
      </w:pPr>
    </w:lvl>
    <w:lvl w:ilvl="7" w:tplc="9F66B788" w:tentative="1">
      <w:start w:val="1"/>
      <w:numFmt w:val="decimal"/>
      <w:lvlText w:val="%8."/>
      <w:lvlJc w:val="left"/>
      <w:pPr>
        <w:tabs>
          <w:tab w:val="num" w:pos="5760"/>
        </w:tabs>
        <w:ind w:left="5760" w:hanging="360"/>
      </w:pPr>
    </w:lvl>
    <w:lvl w:ilvl="8" w:tplc="86669F9C" w:tentative="1">
      <w:start w:val="1"/>
      <w:numFmt w:val="decimal"/>
      <w:lvlText w:val="%9."/>
      <w:lvlJc w:val="left"/>
      <w:pPr>
        <w:tabs>
          <w:tab w:val="num" w:pos="6480"/>
        </w:tabs>
        <w:ind w:left="6480" w:hanging="360"/>
      </w:pPr>
    </w:lvl>
  </w:abstractNum>
  <w:abstractNum w:abstractNumId="5" w15:restartNumberingAfterBreak="0">
    <w:nsid w:val="27A76618"/>
    <w:multiLevelType w:val="hybridMultilevel"/>
    <w:tmpl w:val="C63808BC"/>
    <w:lvl w:ilvl="0" w:tplc="52982604">
      <w:start w:val="7"/>
      <w:numFmt w:val="upperRoman"/>
      <w:lvlText w:val="%1."/>
      <w:lvlJc w:val="right"/>
      <w:pPr>
        <w:tabs>
          <w:tab w:val="num" w:pos="720"/>
        </w:tabs>
        <w:ind w:left="720" w:hanging="360"/>
      </w:pPr>
    </w:lvl>
    <w:lvl w:ilvl="1" w:tplc="BD46BB46" w:tentative="1">
      <w:start w:val="1"/>
      <w:numFmt w:val="decimal"/>
      <w:lvlText w:val="%2."/>
      <w:lvlJc w:val="left"/>
      <w:pPr>
        <w:tabs>
          <w:tab w:val="num" w:pos="1440"/>
        </w:tabs>
        <w:ind w:left="1440" w:hanging="360"/>
      </w:pPr>
    </w:lvl>
    <w:lvl w:ilvl="2" w:tplc="FDDC79D8" w:tentative="1">
      <w:start w:val="1"/>
      <w:numFmt w:val="decimal"/>
      <w:lvlText w:val="%3."/>
      <w:lvlJc w:val="left"/>
      <w:pPr>
        <w:tabs>
          <w:tab w:val="num" w:pos="2160"/>
        </w:tabs>
        <w:ind w:left="2160" w:hanging="360"/>
      </w:pPr>
    </w:lvl>
    <w:lvl w:ilvl="3" w:tplc="B046039C" w:tentative="1">
      <w:start w:val="1"/>
      <w:numFmt w:val="decimal"/>
      <w:lvlText w:val="%4."/>
      <w:lvlJc w:val="left"/>
      <w:pPr>
        <w:tabs>
          <w:tab w:val="num" w:pos="2880"/>
        </w:tabs>
        <w:ind w:left="2880" w:hanging="360"/>
      </w:pPr>
    </w:lvl>
    <w:lvl w:ilvl="4" w:tplc="DD62AB78" w:tentative="1">
      <w:start w:val="1"/>
      <w:numFmt w:val="decimal"/>
      <w:lvlText w:val="%5."/>
      <w:lvlJc w:val="left"/>
      <w:pPr>
        <w:tabs>
          <w:tab w:val="num" w:pos="3600"/>
        </w:tabs>
        <w:ind w:left="3600" w:hanging="360"/>
      </w:pPr>
    </w:lvl>
    <w:lvl w:ilvl="5" w:tplc="A45E1D9E" w:tentative="1">
      <w:start w:val="1"/>
      <w:numFmt w:val="decimal"/>
      <w:lvlText w:val="%6."/>
      <w:lvlJc w:val="left"/>
      <w:pPr>
        <w:tabs>
          <w:tab w:val="num" w:pos="4320"/>
        </w:tabs>
        <w:ind w:left="4320" w:hanging="360"/>
      </w:pPr>
    </w:lvl>
    <w:lvl w:ilvl="6" w:tplc="AB9872A4" w:tentative="1">
      <w:start w:val="1"/>
      <w:numFmt w:val="decimal"/>
      <w:lvlText w:val="%7."/>
      <w:lvlJc w:val="left"/>
      <w:pPr>
        <w:tabs>
          <w:tab w:val="num" w:pos="5040"/>
        </w:tabs>
        <w:ind w:left="5040" w:hanging="360"/>
      </w:pPr>
    </w:lvl>
    <w:lvl w:ilvl="7" w:tplc="96166020" w:tentative="1">
      <w:start w:val="1"/>
      <w:numFmt w:val="decimal"/>
      <w:lvlText w:val="%8."/>
      <w:lvlJc w:val="left"/>
      <w:pPr>
        <w:tabs>
          <w:tab w:val="num" w:pos="5760"/>
        </w:tabs>
        <w:ind w:left="5760" w:hanging="360"/>
      </w:pPr>
    </w:lvl>
    <w:lvl w:ilvl="8" w:tplc="46A6AD4C" w:tentative="1">
      <w:start w:val="1"/>
      <w:numFmt w:val="decimal"/>
      <w:lvlText w:val="%9."/>
      <w:lvlJc w:val="left"/>
      <w:pPr>
        <w:tabs>
          <w:tab w:val="num" w:pos="6480"/>
        </w:tabs>
        <w:ind w:left="6480" w:hanging="360"/>
      </w:pPr>
    </w:lvl>
  </w:abstractNum>
  <w:abstractNum w:abstractNumId="6" w15:restartNumberingAfterBreak="0">
    <w:nsid w:val="2B410B2D"/>
    <w:multiLevelType w:val="hybridMultilevel"/>
    <w:tmpl w:val="D3CCC3E4"/>
    <w:lvl w:ilvl="0" w:tplc="848ECDCE">
      <w:start w:val="6"/>
      <w:numFmt w:val="upperRoman"/>
      <w:lvlText w:val="%1."/>
      <w:lvlJc w:val="right"/>
      <w:pPr>
        <w:tabs>
          <w:tab w:val="num" w:pos="720"/>
        </w:tabs>
        <w:ind w:left="720" w:hanging="360"/>
      </w:pPr>
    </w:lvl>
    <w:lvl w:ilvl="1" w:tplc="FF5AED5C" w:tentative="1">
      <w:start w:val="1"/>
      <w:numFmt w:val="decimal"/>
      <w:lvlText w:val="%2."/>
      <w:lvlJc w:val="left"/>
      <w:pPr>
        <w:tabs>
          <w:tab w:val="num" w:pos="1440"/>
        </w:tabs>
        <w:ind w:left="1440" w:hanging="360"/>
      </w:pPr>
    </w:lvl>
    <w:lvl w:ilvl="2" w:tplc="72FE081A" w:tentative="1">
      <w:start w:val="1"/>
      <w:numFmt w:val="decimal"/>
      <w:lvlText w:val="%3."/>
      <w:lvlJc w:val="left"/>
      <w:pPr>
        <w:tabs>
          <w:tab w:val="num" w:pos="2160"/>
        </w:tabs>
        <w:ind w:left="2160" w:hanging="360"/>
      </w:pPr>
    </w:lvl>
    <w:lvl w:ilvl="3" w:tplc="32A4350A" w:tentative="1">
      <w:start w:val="1"/>
      <w:numFmt w:val="decimal"/>
      <w:lvlText w:val="%4."/>
      <w:lvlJc w:val="left"/>
      <w:pPr>
        <w:tabs>
          <w:tab w:val="num" w:pos="2880"/>
        </w:tabs>
        <w:ind w:left="2880" w:hanging="360"/>
      </w:pPr>
    </w:lvl>
    <w:lvl w:ilvl="4" w:tplc="40FA1480" w:tentative="1">
      <w:start w:val="1"/>
      <w:numFmt w:val="decimal"/>
      <w:lvlText w:val="%5."/>
      <w:lvlJc w:val="left"/>
      <w:pPr>
        <w:tabs>
          <w:tab w:val="num" w:pos="3600"/>
        </w:tabs>
        <w:ind w:left="3600" w:hanging="360"/>
      </w:pPr>
    </w:lvl>
    <w:lvl w:ilvl="5" w:tplc="CC3216D4" w:tentative="1">
      <w:start w:val="1"/>
      <w:numFmt w:val="decimal"/>
      <w:lvlText w:val="%6."/>
      <w:lvlJc w:val="left"/>
      <w:pPr>
        <w:tabs>
          <w:tab w:val="num" w:pos="4320"/>
        </w:tabs>
        <w:ind w:left="4320" w:hanging="360"/>
      </w:pPr>
    </w:lvl>
    <w:lvl w:ilvl="6" w:tplc="470CEDAE" w:tentative="1">
      <w:start w:val="1"/>
      <w:numFmt w:val="decimal"/>
      <w:lvlText w:val="%7."/>
      <w:lvlJc w:val="left"/>
      <w:pPr>
        <w:tabs>
          <w:tab w:val="num" w:pos="5040"/>
        </w:tabs>
        <w:ind w:left="5040" w:hanging="360"/>
      </w:pPr>
    </w:lvl>
    <w:lvl w:ilvl="7" w:tplc="D24A10E6" w:tentative="1">
      <w:start w:val="1"/>
      <w:numFmt w:val="decimal"/>
      <w:lvlText w:val="%8."/>
      <w:lvlJc w:val="left"/>
      <w:pPr>
        <w:tabs>
          <w:tab w:val="num" w:pos="5760"/>
        </w:tabs>
        <w:ind w:left="5760" w:hanging="360"/>
      </w:pPr>
    </w:lvl>
    <w:lvl w:ilvl="8" w:tplc="9502FE64" w:tentative="1">
      <w:start w:val="1"/>
      <w:numFmt w:val="decimal"/>
      <w:lvlText w:val="%9."/>
      <w:lvlJc w:val="left"/>
      <w:pPr>
        <w:tabs>
          <w:tab w:val="num" w:pos="6480"/>
        </w:tabs>
        <w:ind w:left="6480" w:hanging="360"/>
      </w:pPr>
    </w:lvl>
  </w:abstractNum>
  <w:abstractNum w:abstractNumId="7" w15:restartNumberingAfterBreak="0">
    <w:nsid w:val="2C1B436F"/>
    <w:multiLevelType w:val="multilevel"/>
    <w:tmpl w:val="8056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E2E97"/>
    <w:multiLevelType w:val="multilevel"/>
    <w:tmpl w:val="4AB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F6DCC"/>
    <w:multiLevelType w:val="hybridMultilevel"/>
    <w:tmpl w:val="D862C4D4"/>
    <w:lvl w:ilvl="0" w:tplc="ABF8EBD8">
      <w:start w:val="8"/>
      <w:numFmt w:val="upperRoman"/>
      <w:lvlText w:val="%1."/>
      <w:lvlJc w:val="right"/>
      <w:pPr>
        <w:tabs>
          <w:tab w:val="num" w:pos="720"/>
        </w:tabs>
        <w:ind w:left="720" w:hanging="360"/>
      </w:pPr>
    </w:lvl>
    <w:lvl w:ilvl="1" w:tplc="5658E532" w:tentative="1">
      <w:start w:val="1"/>
      <w:numFmt w:val="decimal"/>
      <w:lvlText w:val="%2."/>
      <w:lvlJc w:val="left"/>
      <w:pPr>
        <w:tabs>
          <w:tab w:val="num" w:pos="1440"/>
        </w:tabs>
        <w:ind w:left="1440" w:hanging="360"/>
      </w:pPr>
    </w:lvl>
    <w:lvl w:ilvl="2" w:tplc="4FD88658" w:tentative="1">
      <w:start w:val="1"/>
      <w:numFmt w:val="decimal"/>
      <w:lvlText w:val="%3."/>
      <w:lvlJc w:val="left"/>
      <w:pPr>
        <w:tabs>
          <w:tab w:val="num" w:pos="2160"/>
        </w:tabs>
        <w:ind w:left="2160" w:hanging="360"/>
      </w:pPr>
    </w:lvl>
    <w:lvl w:ilvl="3" w:tplc="779C31C4" w:tentative="1">
      <w:start w:val="1"/>
      <w:numFmt w:val="decimal"/>
      <w:lvlText w:val="%4."/>
      <w:lvlJc w:val="left"/>
      <w:pPr>
        <w:tabs>
          <w:tab w:val="num" w:pos="2880"/>
        </w:tabs>
        <w:ind w:left="2880" w:hanging="360"/>
      </w:pPr>
    </w:lvl>
    <w:lvl w:ilvl="4" w:tplc="82B0FC86" w:tentative="1">
      <w:start w:val="1"/>
      <w:numFmt w:val="decimal"/>
      <w:lvlText w:val="%5."/>
      <w:lvlJc w:val="left"/>
      <w:pPr>
        <w:tabs>
          <w:tab w:val="num" w:pos="3600"/>
        </w:tabs>
        <w:ind w:left="3600" w:hanging="360"/>
      </w:pPr>
    </w:lvl>
    <w:lvl w:ilvl="5" w:tplc="22767FA4" w:tentative="1">
      <w:start w:val="1"/>
      <w:numFmt w:val="decimal"/>
      <w:lvlText w:val="%6."/>
      <w:lvlJc w:val="left"/>
      <w:pPr>
        <w:tabs>
          <w:tab w:val="num" w:pos="4320"/>
        </w:tabs>
        <w:ind w:left="4320" w:hanging="360"/>
      </w:pPr>
    </w:lvl>
    <w:lvl w:ilvl="6" w:tplc="2B4ECB9C" w:tentative="1">
      <w:start w:val="1"/>
      <w:numFmt w:val="decimal"/>
      <w:lvlText w:val="%7."/>
      <w:lvlJc w:val="left"/>
      <w:pPr>
        <w:tabs>
          <w:tab w:val="num" w:pos="5040"/>
        </w:tabs>
        <w:ind w:left="5040" w:hanging="360"/>
      </w:pPr>
    </w:lvl>
    <w:lvl w:ilvl="7" w:tplc="CF0A483E" w:tentative="1">
      <w:start w:val="1"/>
      <w:numFmt w:val="decimal"/>
      <w:lvlText w:val="%8."/>
      <w:lvlJc w:val="left"/>
      <w:pPr>
        <w:tabs>
          <w:tab w:val="num" w:pos="5760"/>
        </w:tabs>
        <w:ind w:left="5760" w:hanging="360"/>
      </w:pPr>
    </w:lvl>
    <w:lvl w:ilvl="8" w:tplc="CA6072B6" w:tentative="1">
      <w:start w:val="1"/>
      <w:numFmt w:val="decimal"/>
      <w:lvlText w:val="%9."/>
      <w:lvlJc w:val="left"/>
      <w:pPr>
        <w:tabs>
          <w:tab w:val="num" w:pos="6480"/>
        </w:tabs>
        <w:ind w:left="6480" w:hanging="360"/>
      </w:pPr>
    </w:lvl>
  </w:abstractNum>
  <w:abstractNum w:abstractNumId="10" w15:restartNumberingAfterBreak="0">
    <w:nsid w:val="3E8F35CC"/>
    <w:multiLevelType w:val="hybridMultilevel"/>
    <w:tmpl w:val="453C7816"/>
    <w:lvl w:ilvl="0" w:tplc="4F6E86F2">
      <w:start w:val="9"/>
      <w:numFmt w:val="upperRoman"/>
      <w:lvlText w:val="%1."/>
      <w:lvlJc w:val="right"/>
      <w:pPr>
        <w:tabs>
          <w:tab w:val="num" w:pos="720"/>
        </w:tabs>
        <w:ind w:left="720" w:hanging="360"/>
      </w:pPr>
    </w:lvl>
    <w:lvl w:ilvl="1" w:tplc="69A687B6" w:tentative="1">
      <w:start w:val="1"/>
      <w:numFmt w:val="decimal"/>
      <w:lvlText w:val="%2."/>
      <w:lvlJc w:val="left"/>
      <w:pPr>
        <w:tabs>
          <w:tab w:val="num" w:pos="1440"/>
        </w:tabs>
        <w:ind w:left="1440" w:hanging="360"/>
      </w:pPr>
    </w:lvl>
    <w:lvl w:ilvl="2" w:tplc="CEEA8CA0" w:tentative="1">
      <w:start w:val="1"/>
      <w:numFmt w:val="decimal"/>
      <w:lvlText w:val="%3."/>
      <w:lvlJc w:val="left"/>
      <w:pPr>
        <w:tabs>
          <w:tab w:val="num" w:pos="2160"/>
        </w:tabs>
        <w:ind w:left="2160" w:hanging="360"/>
      </w:pPr>
    </w:lvl>
    <w:lvl w:ilvl="3" w:tplc="80D86B6E" w:tentative="1">
      <w:start w:val="1"/>
      <w:numFmt w:val="decimal"/>
      <w:lvlText w:val="%4."/>
      <w:lvlJc w:val="left"/>
      <w:pPr>
        <w:tabs>
          <w:tab w:val="num" w:pos="2880"/>
        </w:tabs>
        <w:ind w:left="2880" w:hanging="360"/>
      </w:pPr>
    </w:lvl>
    <w:lvl w:ilvl="4" w:tplc="F8C2CD10" w:tentative="1">
      <w:start w:val="1"/>
      <w:numFmt w:val="decimal"/>
      <w:lvlText w:val="%5."/>
      <w:lvlJc w:val="left"/>
      <w:pPr>
        <w:tabs>
          <w:tab w:val="num" w:pos="3600"/>
        </w:tabs>
        <w:ind w:left="3600" w:hanging="360"/>
      </w:pPr>
    </w:lvl>
    <w:lvl w:ilvl="5" w:tplc="813404D2" w:tentative="1">
      <w:start w:val="1"/>
      <w:numFmt w:val="decimal"/>
      <w:lvlText w:val="%6."/>
      <w:lvlJc w:val="left"/>
      <w:pPr>
        <w:tabs>
          <w:tab w:val="num" w:pos="4320"/>
        </w:tabs>
        <w:ind w:left="4320" w:hanging="360"/>
      </w:pPr>
    </w:lvl>
    <w:lvl w:ilvl="6" w:tplc="597EAA5C" w:tentative="1">
      <w:start w:val="1"/>
      <w:numFmt w:val="decimal"/>
      <w:lvlText w:val="%7."/>
      <w:lvlJc w:val="left"/>
      <w:pPr>
        <w:tabs>
          <w:tab w:val="num" w:pos="5040"/>
        </w:tabs>
        <w:ind w:left="5040" w:hanging="360"/>
      </w:pPr>
    </w:lvl>
    <w:lvl w:ilvl="7" w:tplc="374255FC" w:tentative="1">
      <w:start w:val="1"/>
      <w:numFmt w:val="decimal"/>
      <w:lvlText w:val="%8."/>
      <w:lvlJc w:val="left"/>
      <w:pPr>
        <w:tabs>
          <w:tab w:val="num" w:pos="5760"/>
        </w:tabs>
        <w:ind w:left="5760" w:hanging="360"/>
      </w:pPr>
    </w:lvl>
    <w:lvl w:ilvl="8" w:tplc="032E4F1E" w:tentative="1">
      <w:start w:val="1"/>
      <w:numFmt w:val="decimal"/>
      <w:lvlText w:val="%9."/>
      <w:lvlJc w:val="left"/>
      <w:pPr>
        <w:tabs>
          <w:tab w:val="num" w:pos="6480"/>
        </w:tabs>
        <w:ind w:left="6480" w:hanging="360"/>
      </w:pPr>
    </w:lvl>
  </w:abstractNum>
  <w:abstractNum w:abstractNumId="11" w15:restartNumberingAfterBreak="0">
    <w:nsid w:val="41FF0C67"/>
    <w:multiLevelType w:val="multilevel"/>
    <w:tmpl w:val="02FE3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B58B4"/>
    <w:multiLevelType w:val="multilevel"/>
    <w:tmpl w:val="507C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40FE1"/>
    <w:multiLevelType w:val="multilevel"/>
    <w:tmpl w:val="A610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30AB3"/>
    <w:multiLevelType w:val="hybridMultilevel"/>
    <w:tmpl w:val="3CB8AA1A"/>
    <w:lvl w:ilvl="0" w:tplc="1D165E36">
      <w:start w:val="11"/>
      <w:numFmt w:val="upperRoman"/>
      <w:lvlText w:val="%1."/>
      <w:lvlJc w:val="right"/>
      <w:pPr>
        <w:tabs>
          <w:tab w:val="num" w:pos="720"/>
        </w:tabs>
        <w:ind w:left="720" w:hanging="360"/>
      </w:pPr>
      <w:rPr>
        <w:rFonts w:ascii="Cambria" w:hAnsi="Cambria" w:hint="default"/>
        <w:b/>
        <w:sz w:val="22"/>
        <w:szCs w:val="22"/>
      </w:rPr>
    </w:lvl>
    <w:lvl w:ilvl="1" w:tplc="443C25D8">
      <w:start w:val="1"/>
      <w:numFmt w:val="lowerLetter"/>
      <w:lvlText w:val="%2."/>
      <w:lvlJc w:val="left"/>
      <w:pPr>
        <w:tabs>
          <w:tab w:val="num" w:pos="1440"/>
        </w:tabs>
        <w:ind w:left="1440" w:hanging="360"/>
      </w:pPr>
      <w:rPr>
        <w:rFonts w:asciiTheme="majorHAnsi" w:eastAsia="Calibri" w:hAnsiTheme="majorHAnsi" w:cs="Calibri"/>
        <w:b/>
      </w:rPr>
    </w:lvl>
    <w:lvl w:ilvl="2" w:tplc="C5E0A040" w:tentative="1">
      <w:start w:val="1"/>
      <w:numFmt w:val="decimal"/>
      <w:lvlText w:val="%3."/>
      <w:lvlJc w:val="left"/>
      <w:pPr>
        <w:tabs>
          <w:tab w:val="num" w:pos="2160"/>
        </w:tabs>
        <w:ind w:left="2160" w:hanging="360"/>
      </w:pPr>
    </w:lvl>
    <w:lvl w:ilvl="3" w:tplc="5B08B57E" w:tentative="1">
      <w:start w:val="1"/>
      <w:numFmt w:val="decimal"/>
      <w:lvlText w:val="%4."/>
      <w:lvlJc w:val="left"/>
      <w:pPr>
        <w:tabs>
          <w:tab w:val="num" w:pos="2880"/>
        </w:tabs>
        <w:ind w:left="2880" w:hanging="360"/>
      </w:pPr>
    </w:lvl>
    <w:lvl w:ilvl="4" w:tplc="4A865AAA" w:tentative="1">
      <w:start w:val="1"/>
      <w:numFmt w:val="decimal"/>
      <w:lvlText w:val="%5."/>
      <w:lvlJc w:val="left"/>
      <w:pPr>
        <w:tabs>
          <w:tab w:val="num" w:pos="3600"/>
        </w:tabs>
        <w:ind w:left="3600" w:hanging="360"/>
      </w:pPr>
    </w:lvl>
    <w:lvl w:ilvl="5" w:tplc="9D72BE24" w:tentative="1">
      <w:start w:val="1"/>
      <w:numFmt w:val="decimal"/>
      <w:lvlText w:val="%6."/>
      <w:lvlJc w:val="left"/>
      <w:pPr>
        <w:tabs>
          <w:tab w:val="num" w:pos="4320"/>
        </w:tabs>
        <w:ind w:left="4320" w:hanging="360"/>
      </w:pPr>
    </w:lvl>
    <w:lvl w:ilvl="6" w:tplc="F34A285A" w:tentative="1">
      <w:start w:val="1"/>
      <w:numFmt w:val="decimal"/>
      <w:lvlText w:val="%7."/>
      <w:lvlJc w:val="left"/>
      <w:pPr>
        <w:tabs>
          <w:tab w:val="num" w:pos="5040"/>
        </w:tabs>
        <w:ind w:left="5040" w:hanging="360"/>
      </w:pPr>
    </w:lvl>
    <w:lvl w:ilvl="7" w:tplc="79460500" w:tentative="1">
      <w:start w:val="1"/>
      <w:numFmt w:val="decimal"/>
      <w:lvlText w:val="%8."/>
      <w:lvlJc w:val="left"/>
      <w:pPr>
        <w:tabs>
          <w:tab w:val="num" w:pos="5760"/>
        </w:tabs>
        <w:ind w:left="5760" w:hanging="360"/>
      </w:pPr>
    </w:lvl>
    <w:lvl w:ilvl="8" w:tplc="1A242E16" w:tentative="1">
      <w:start w:val="1"/>
      <w:numFmt w:val="decimal"/>
      <w:lvlText w:val="%9."/>
      <w:lvlJc w:val="left"/>
      <w:pPr>
        <w:tabs>
          <w:tab w:val="num" w:pos="6480"/>
        </w:tabs>
        <w:ind w:left="6480" w:hanging="360"/>
      </w:pPr>
    </w:lvl>
  </w:abstractNum>
  <w:abstractNum w:abstractNumId="15" w15:restartNumberingAfterBreak="0">
    <w:nsid w:val="5D553F11"/>
    <w:multiLevelType w:val="multilevel"/>
    <w:tmpl w:val="78F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F2631"/>
    <w:multiLevelType w:val="hybridMultilevel"/>
    <w:tmpl w:val="9C3C5B28"/>
    <w:lvl w:ilvl="0" w:tplc="7C041A2E">
      <w:start w:val="3"/>
      <w:numFmt w:val="upperRoman"/>
      <w:lvlText w:val="%1."/>
      <w:lvlJc w:val="right"/>
      <w:pPr>
        <w:tabs>
          <w:tab w:val="num" w:pos="720"/>
        </w:tabs>
        <w:ind w:left="720" w:hanging="360"/>
      </w:pPr>
    </w:lvl>
    <w:lvl w:ilvl="1" w:tplc="CBC83056" w:tentative="1">
      <w:start w:val="1"/>
      <w:numFmt w:val="decimal"/>
      <w:lvlText w:val="%2."/>
      <w:lvlJc w:val="left"/>
      <w:pPr>
        <w:tabs>
          <w:tab w:val="num" w:pos="1440"/>
        </w:tabs>
        <w:ind w:left="1440" w:hanging="360"/>
      </w:pPr>
    </w:lvl>
    <w:lvl w:ilvl="2" w:tplc="AD3C4FE6" w:tentative="1">
      <w:start w:val="1"/>
      <w:numFmt w:val="decimal"/>
      <w:lvlText w:val="%3."/>
      <w:lvlJc w:val="left"/>
      <w:pPr>
        <w:tabs>
          <w:tab w:val="num" w:pos="2160"/>
        </w:tabs>
        <w:ind w:left="2160" w:hanging="360"/>
      </w:pPr>
    </w:lvl>
    <w:lvl w:ilvl="3" w:tplc="87A2EF86" w:tentative="1">
      <w:start w:val="1"/>
      <w:numFmt w:val="decimal"/>
      <w:lvlText w:val="%4."/>
      <w:lvlJc w:val="left"/>
      <w:pPr>
        <w:tabs>
          <w:tab w:val="num" w:pos="2880"/>
        </w:tabs>
        <w:ind w:left="2880" w:hanging="360"/>
      </w:pPr>
    </w:lvl>
    <w:lvl w:ilvl="4" w:tplc="9DB0D5EE" w:tentative="1">
      <w:start w:val="1"/>
      <w:numFmt w:val="decimal"/>
      <w:lvlText w:val="%5."/>
      <w:lvlJc w:val="left"/>
      <w:pPr>
        <w:tabs>
          <w:tab w:val="num" w:pos="3600"/>
        </w:tabs>
        <w:ind w:left="3600" w:hanging="360"/>
      </w:pPr>
    </w:lvl>
    <w:lvl w:ilvl="5" w:tplc="B538C838" w:tentative="1">
      <w:start w:val="1"/>
      <w:numFmt w:val="decimal"/>
      <w:lvlText w:val="%6."/>
      <w:lvlJc w:val="left"/>
      <w:pPr>
        <w:tabs>
          <w:tab w:val="num" w:pos="4320"/>
        </w:tabs>
        <w:ind w:left="4320" w:hanging="360"/>
      </w:pPr>
    </w:lvl>
    <w:lvl w:ilvl="6" w:tplc="AE520E5E" w:tentative="1">
      <w:start w:val="1"/>
      <w:numFmt w:val="decimal"/>
      <w:lvlText w:val="%7."/>
      <w:lvlJc w:val="left"/>
      <w:pPr>
        <w:tabs>
          <w:tab w:val="num" w:pos="5040"/>
        </w:tabs>
        <w:ind w:left="5040" w:hanging="360"/>
      </w:pPr>
    </w:lvl>
    <w:lvl w:ilvl="7" w:tplc="9844FEC0" w:tentative="1">
      <w:start w:val="1"/>
      <w:numFmt w:val="decimal"/>
      <w:lvlText w:val="%8."/>
      <w:lvlJc w:val="left"/>
      <w:pPr>
        <w:tabs>
          <w:tab w:val="num" w:pos="5760"/>
        </w:tabs>
        <w:ind w:left="5760" w:hanging="360"/>
      </w:pPr>
    </w:lvl>
    <w:lvl w:ilvl="8" w:tplc="A56A508A" w:tentative="1">
      <w:start w:val="1"/>
      <w:numFmt w:val="decimal"/>
      <w:lvlText w:val="%9."/>
      <w:lvlJc w:val="left"/>
      <w:pPr>
        <w:tabs>
          <w:tab w:val="num" w:pos="6480"/>
        </w:tabs>
        <w:ind w:left="6480" w:hanging="360"/>
      </w:pPr>
    </w:lvl>
  </w:abstractNum>
  <w:abstractNum w:abstractNumId="17" w15:restartNumberingAfterBreak="0">
    <w:nsid w:val="6B295C7F"/>
    <w:multiLevelType w:val="multilevel"/>
    <w:tmpl w:val="59E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27011"/>
    <w:multiLevelType w:val="multilevel"/>
    <w:tmpl w:val="38B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A41DF"/>
    <w:multiLevelType w:val="multilevel"/>
    <w:tmpl w:val="6DE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E539E"/>
    <w:multiLevelType w:val="hybridMultilevel"/>
    <w:tmpl w:val="2DA67D2C"/>
    <w:lvl w:ilvl="0" w:tplc="5F022370">
      <w:start w:val="4"/>
      <w:numFmt w:val="upperRoman"/>
      <w:lvlText w:val="%1."/>
      <w:lvlJc w:val="right"/>
      <w:pPr>
        <w:tabs>
          <w:tab w:val="num" w:pos="720"/>
        </w:tabs>
        <w:ind w:left="720" w:hanging="360"/>
      </w:pPr>
    </w:lvl>
    <w:lvl w:ilvl="1" w:tplc="0AFE25AA" w:tentative="1">
      <w:start w:val="1"/>
      <w:numFmt w:val="decimal"/>
      <w:lvlText w:val="%2."/>
      <w:lvlJc w:val="left"/>
      <w:pPr>
        <w:tabs>
          <w:tab w:val="num" w:pos="1440"/>
        </w:tabs>
        <w:ind w:left="1440" w:hanging="360"/>
      </w:pPr>
    </w:lvl>
    <w:lvl w:ilvl="2" w:tplc="3646A3D4" w:tentative="1">
      <w:start w:val="1"/>
      <w:numFmt w:val="decimal"/>
      <w:lvlText w:val="%3."/>
      <w:lvlJc w:val="left"/>
      <w:pPr>
        <w:tabs>
          <w:tab w:val="num" w:pos="2160"/>
        </w:tabs>
        <w:ind w:left="2160" w:hanging="360"/>
      </w:pPr>
    </w:lvl>
    <w:lvl w:ilvl="3" w:tplc="967C8A00" w:tentative="1">
      <w:start w:val="1"/>
      <w:numFmt w:val="decimal"/>
      <w:lvlText w:val="%4."/>
      <w:lvlJc w:val="left"/>
      <w:pPr>
        <w:tabs>
          <w:tab w:val="num" w:pos="2880"/>
        </w:tabs>
        <w:ind w:left="2880" w:hanging="360"/>
      </w:pPr>
    </w:lvl>
    <w:lvl w:ilvl="4" w:tplc="81B0C4C0" w:tentative="1">
      <w:start w:val="1"/>
      <w:numFmt w:val="decimal"/>
      <w:lvlText w:val="%5."/>
      <w:lvlJc w:val="left"/>
      <w:pPr>
        <w:tabs>
          <w:tab w:val="num" w:pos="3600"/>
        </w:tabs>
        <w:ind w:left="3600" w:hanging="360"/>
      </w:pPr>
    </w:lvl>
    <w:lvl w:ilvl="5" w:tplc="93B4D45E" w:tentative="1">
      <w:start w:val="1"/>
      <w:numFmt w:val="decimal"/>
      <w:lvlText w:val="%6."/>
      <w:lvlJc w:val="left"/>
      <w:pPr>
        <w:tabs>
          <w:tab w:val="num" w:pos="4320"/>
        </w:tabs>
        <w:ind w:left="4320" w:hanging="360"/>
      </w:pPr>
    </w:lvl>
    <w:lvl w:ilvl="6" w:tplc="9EDCFA8C" w:tentative="1">
      <w:start w:val="1"/>
      <w:numFmt w:val="decimal"/>
      <w:lvlText w:val="%7."/>
      <w:lvlJc w:val="left"/>
      <w:pPr>
        <w:tabs>
          <w:tab w:val="num" w:pos="5040"/>
        </w:tabs>
        <w:ind w:left="5040" w:hanging="360"/>
      </w:pPr>
    </w:lvl>
    <w:lvl w:ilvl="7" w:tplc="903CE968" w:tentative="1">
      <w:start w:val="1"/>
      <w:numFmt w:val="decimal"/>
      <w:lvlText w:val="%8."/>
      <w:lvlJc w:val="left"/>
      <w:pPr>
        <w:tabs>
          <w:tab w:val="num" w:pos="5760"/>
        </w:tabs>
        <w:ind w:left="5760" w:hanging="360"/>
      </w:pPr>
    </w:lvl>
    <w:lvl w:ilvl="8" w:tplc="DCC4D410" w:tentative="1">
      <w:start w:val="1"/>
      <w:numFmt w:val="decimal"/>
      <w:lvlText w:val="%9."/>
      <w:lvlJc w:val="left"/>
      <w:pPr>
        <w:tabs>
          <w:tab w:val="num" w:pos="6480"/>
        </w:tabs>
        <w:ind w:left="6480" w:hanging="360"/>
      </w:pPr>
    </w:lvl>
  </w:abstractNum>
  <w:abstractNum w:abstractNumId="21" w15:restartNumberingAfterBreak="0">
    <w:nsid w:val="79F03053"/>
    <w:multiLevelType w:val="multilevel"/>
    <w:tmpl w:val="252A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23118D"/>
    <w:multiLevelType w:val="multilevel"/>
    <w:tmpl w:val="2096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F23666"/>
    <w:multiLevelType w:val="hybridMultilevel"/>
    <w:tmpl w:val="335A685E"/>
    <w:lvl w:ilvl="0" w:tplc="6D328CDA">
      <w:start w:val="2"/>
      <w:numFmt w:val="upperRoman"/>
      <w:lvlText w:val="%1."/>
      <w:lvlJc w:val="right"/>
      <w:pPr>
        <w:tabs>
          <w:tab w:val="num" w:pos="460"/>
        </w:tabs>
        <w:ind w:left="460" w:hanging="360"/>
      </w:pPr>
    </w:lvl>
    <w:lvl w:ilvl="1" w:tplc="F4F85950" w:tentative="1">
      <w:start w:val="1"/>
      <w:numFmt w:val="decimal"/>
      <w:lvlText w:val="%2."/>
      <w:lvlJc w:val="left"/>
      <w:pPr>
        <w:tabs>
          <w:tab w:val="num" w:pos="1180"/>
        </w:tabs>
        <w:ind w:left="1180" w:hanging="360"/>
      </w:pPr>
    </w:lvl>
    <w:lvl w:ilvl="2" w:tplc="D54A23A8" w:tentative="1">
      <w:start w:val="1"/>
      <w:numFmt w:val="decimal"/>
      <w:lvlText w:val="%3."/>
      <w:lvlJc w:val="left"/>
      <w:pPr>
        <w:tabs>
          <w:tab w:val="num" w:pos="1900"/>
        </w:tabs>
        <w:ind w:left="1900" w:hanging="360"/>
      </w:pPr>
    </w:lvl>
    <w:lvl w:ilvl="3" w:tplc="3BE2D2C2" w:tentative="1">
      <w:start w:val="1"/>
      <w:numFmt w:val="decimal"/>
      <w:lvlText w:val="%4."/>
      <w:lvlJc w:val="left"/>
      <w:pPr>
        <w:tabs>
          <w:tab w:val="num" w:pos="2620"/>
        </w:tabs>
        <w:ind w:left="2620" w:hanging="360"/>
      </w:pPr>
    </w:lvl>
    <w:lvl w:ilvl="4" w:tplc="1AA0D190" w:tentative="1">
      <w:start w:val="1"/>
      <w:numFmt w:val="decimal"/>
      <w:lvlText w:val="%5."/>
      <w:lvlJc w:val="left"/>
      <w:pPr>
        <w:tabs>
          <w:tab w:val="num" w:pos="3340"/>
        </w:tabs>
        <w:ind w:left="3340" w:hanging="360"/>
      </w:pPr>
    </w:lvl>
    <w:lvl w:ilvl="5" w:tplc="0928A726" w:tentative="1">
      <w:start w:val="1"/>
      <w:numFmt w:val="decimal"/>
      <w:lvlText w:val="%6."/>
      <w:lvlJc w:val="left"/>
      <w:pPr>
        <w:tabs>
          <w:tab w:val="num" w:pos="4060"/>
        </w:tabs>
        <w:ind w:left="4060" w:hanging="360"/>
      </w:pPr>
    </w:lvl>
    <w:lvl w:ilvl="6" w:tplc="F2CAC02C" w:tentative="1">
      <w:start w:val="1"/>
      <w:numFmt w:val="decimal"/>
      <w:lvlText w:val="%7."/>
      <w:lvlJc w:val="left"/>
      <w:pPr>
        <w:tabs>
          <w:tab w:val="num" w:pos="4780"/>
        </w:tabs>
        <w:ind w:left="4780" w:hanging="360"/>
      </w:pPr>
    </w:lvl>
    <w:lvl w:ilvl="7" w:tplc="D598E686" w:tentative="1">
      <w:start w:val="1"/>
      <w:numFmt w:val="decimal"/>
      <w:lvlText w:val="%8."/>
      <w:lvlJc w:val="left"/>
      <w:pPr>
        <w:tabs>
          <w:tab w:val="num" w:pos="5500"/>
        </w:tabs>
        <w:ind w:left="5500" w:hanging="360"/>
      </w:pPr>
    </w:lvl>
    <w:lvl w:ilvl="8" w:tplc="601683FA" w:tentative="1">
      <w:start w:val="1"/>
      <w:numFmt w:val="decimal"/>
      <w:lvlText w:val="%9."/>
      <w:lvlJc w:val="left"/>
      <w:pPr>
        <w:tabs>
          <w:tab w:val="num" w:pos="6220"/>
        </w:tabs>
        <w:ind w:left="6220" w:hanging="360"/>
      </w:pPr>
    </w:lvl>
  </w:abstractNum>
  <w:num w:numId="1">
    <w:abstractNumId w:val="21"/>
    <w:lvlOverride w:ilvl="0">
      <w:lvl w:ilvl="0">
        <w:numFmt w:val="upperRoman"/>
        <w:lvlText w:val="%1."/>
        <w:lvlJc w:val="right"/>
      </w:lvl>
    </w:lvlOverride>
  </w:num>
  <w:num w:numId="2">
    <w:abstractNumId w:val="23"/>
  </w:num>
  <w:num w:numId="3">
    <w:abstractNumId w:val="16"/>
  </w:num>
  <w:num w:numId="4">
    <w:abstractNumId w:val="22"/>
  </w:num>
  <w:num w:numId="5">
    <w:abstractNumId w:val="20"/>
  </w:num>
  <w:num w:numId="6">
    <w:abstractNumId w:val="18"/>
  </w:num>
  <w:num w:numId="7">
    <w:abstractNumId w:val="7"/>
  </w:num>
  <w:num w:numId="8">
    <w:abstractNumId w:val="4"/>
  </w:num>
  <w:num w:numId="9">
    <w:abstractNumId w:val="17"/>
  </w:num>
  <w:num w:numId="10">
    <w:abstractNumId w:val="6"/>
  </w:num>
  <w:num w:numId="11">
    <w:abstractNumId w:val="19"/>
  </w:num>
  <w:num w:numId="12">
    <w:abstractNumId w:val="8"/>
  </w:num>
  <w:num w:numId="13">
    <w:abstractNumId w:val="12"/>
  </w:num>
  <w:num w:numId="14">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num>
  <w:num w:numId="17">
    <w:abstractNumId w:val="9"/>
  </w:num>
  <w:num w:numId="18">
    <w:abstractNumId w:val="10"/>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abstractNumId w:val="3"/>
  </w:num>
  <w:num w:numId="21">
    <w:abstractNumId w:val="15"/>
  </w:num>
  <w:num w:numId="22">
    <w:abstractNumId w:val="14"/>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F0"/>
    <w:rsid w:val="000064E0"/>
    <w:rsid w:val="00020C67"/>
    <w:rsid w:val="0005225D"/>
    <w:rsid w:val="00053B22"/>
    <w:rsid w:val="000557FB"/>
    <w:rsid w:val="00080F0A"/>
    <w:rsid w:val="00084E82"/>
    <w:rsid w:val="0008578D"/>
    <w:rsid w:val="00094767"/>
    <w:rsid w:val="000A35AB"/>
    <w:rsid w:val="000F369A"/>
    <w:rsid w:val="000F3DF2"/>
    <w:rsid w:val="001064A8"/>
    <w:rsid w:val="0016386B"/>
    <w:rsid w:val="00164564"/>
    <w:rsid w:val="001664BC"/>
    <w:rsid w:val="001805CD"/>
    <w:rsid w:val="00182007"/>
    <w:rsid w:val="00182875"/>
    <w:rsid w:val="0018291F"/>
    <w:rsid w:val="00187163"/>
    <w:rsid w:val="00197E64"/>
    <w:rsid w:val="001B2E2D"/>
    <w:rsid w:val="001B46C4"/>
    <w:rsid w:val="001B5534"/>
    <w:rsid w:val="002009E5"/>
    <w:rsid w:val="00203C51"/>
    <w:rsid w:val="00220863"/>
    <w:rsid w:val="00235F2A"/>
    <w:rsid w:val="00255333"/>
    <w:rsid w:val="00280868"/>
    <w:rsid w:val="00295339"/>
    <w:rsid w:val="00296B18"/>
    <w:rsid w:val="002E4320"/>
    <w:rsid w:val="002E4BA2"/>
    <w:rsid w:val="00311747"/>
    <w:rsid w:val="00344616"/>
    <w:rsid w:val="00345C57"/>
    <w:rsid w:val="003514A8"/>
    <w:rsid w:val="00381047"/>
    <w:rsid w:val="00381CE7"/>
    <w:rsid w:val="003C0975"/>
    <w:rsid w:val="003C43DD"/>
    <w:rsid w:val="003D0D32"/>
    <w:rsid w:val="003F240E"/>
    <w:rsid w:val="003F4519"/>
    <w:rsid w:val="003F7D58"/>
    <w:rsid w:val="004020CC"/>
    <w:rsid w:val="00405419"/>
    <w:rsid w:val="00410E30"/>
    <w:rsid w:val="00435CAE"/>
    <w:rsid w:val="00436E9B"/>
    <w:rsid w:val="0044419D"/>
    <w:rsid w:val="00445B17"/>
    <w:rsid w:val="00482FFD"/>
    <w:rsid w:val="00485E38"/>
    <w:rsid w:val="00496C08"/>
    <w:rsid w:val="00500FFB"/>
    <w:rsid w:val="00505824"/>
    <w:rsid w:val="00512C76"/>
    <w:rsid w:val="00527440"/>
    <w:rsid w:val="00543908"/>
    <w:rsid w:val="00554639"/>
    <w:rsid w:val="00574242"/>
    <w:rsid w:val="005814A4"/>
    <w:rsid w:val="00591F5C"/>
    <w:rsid w:val="0059789A"/>
    <w:rsid w:val="005A3DC7"/>
    <w:rsid w:val="005A497F"/>
    <w:rsid w:val="005C3949"/>
    <w:rsid w:val="005C52D7"/>
    <w:rsid w:val="005E26B2"/>
    <w:rsid w:val="005E67E7"/>
    <w:rsid w:val="00604BD9"/>
    <w:rsid w:val="00615144"/>
    <w:rsid w:val="00620333"/>
    <w:rsid w:val="006240BA"/>
    <w:rsid w:val="00627615"/>
    <w:rsid w:val="0063000C"/>
    <w:rsid w:val="006304AA"/>
    <w:rsid w:val="00634312"/>
    <w:rsid w:val="006353E4"/>
    <w:rsid w:val="0065191D"/>
    <w:rsid w:val="00665464"/>
    <w:rsid w:val="0067412F"/>
    <w:rsid w:val="006765B6"/>
    <w:rsid w:val="006A37FE"/>
    <w:rsid w:val="006A7B09"/>
    <w:rsid w:val="006B0474"/>
    <w:rsid w:val="006B533A"/>
    <w:rsid w:val="006C053D"/>
    <w:rsid w:val="006C1D04"/>
    <w:rsid w:val="006C2B65"/>
    <w:rsid w:val="006D5A90"/>
    <w:rsid w:val="006E121B"/>
    <w:rsid w:val="006E18EB"/>
    <w:rsid w:val="006E697E"/>
    <w:rsid w:val="006F66F3"/>
    <w:rsid w:val="00712F75"/>
    <w:rsid w:val="00730703"/>
    <w:rsid w:val="00770204"/>
    <w:rsid w:val="007B2E5D"/>
    <w:rsid w:val="007C01DF"/>
    <w:rsid w:val="007C59E9"/>
    <w:rsid w:val="007C6B13"/>
    <w:rsid w:val="007D2A2E"/>
    <w:rsid w:val="00800C64"/>
    <w:rsid w:val="00810DCF"/>
    <w:rsid w:val="00811F93"/>
    <w:rsid w:val="00831D6E"/>
    <w:rsid w:val="0083696D"/>
    <w:rsid w:val="00847213"/>
    <w:rsid w:val="00852B61"/>
    <w:rsid w:val="008616B8"/>
    <w:rsid w:val="00864626"/>
    <w:rsid w:val="008670EE"/>
    <w:rsid w:val="00885822"/>
    <w:rsid w:val="00894EF6"/>
    <w:rsid w:val="008A0914"/>
    <w:rsid w:val="008A1F60"/>
    <w:rsid w:val="008A3D62"/>
    <w:rsid w:val="008A6CFD"/>
    <w:rsid w:val="008B3220"/>
    <w:rsid w:val="008C616C"/>
    <w:rsid w:val="008E44A9"/>
    <w:rsid w:val="008E5CBB"/>
    <w:rsid w:val="008F4AC7"/>
    <w:rsid w:val="009003D1"/>
    <w:rsid w:val="00900BC0"/>
    <w:rsid w:val="00901A74"/>
    <w:rsid w:val="009413EC"/>
    <w:rsid w:val="0095356B"/>
    <w:rsid w:val="00967E4B"/>
    <w:rsid w:val="009859F0"/>
    <w:rsid w:val="0099463B"/>
    <w:rsid w:val="00995E0A"/>
    <w:rsid w:val="009A3FA9"/>
    <w:rsid w:val="009D65D1"/>
    <w:rsid w:val="009D7DDD"/>
    <w:rsid w:val="009E0E28"/>
    <w:rsid w:val="009E364C"/>
    <w:rsid w:val="00A01D33"/>
    <w:rsid w:val="00A050FD"/>
    <w:rsid w:val="00A21C68"/>
    <w:rsid w:val="00A22906"/>
    <w:rsid w:val="00A448AA"/>
    <w:rsid w:val="00A50887"/>
    <w:rsid w:val="00A512B8"/>
    <w:rsid w:val="00A53B4A"/>
    <w:rsid w:val="00A56145"/>
    <w:rsid w:val="00A570C3"/>
    <w:rsid w:val="00A87894"/>
    <w:rsid w:val="00A95DF0"/>
    <w:rsid w:val="00AA045F"/>
    <w:rsid w:val="00AB04D0"/>
    <w:rsid w:val="00AB4CB3"/>
    <w:rsid w:val="00AB6B2A"/>
    <w:rsid w:val="00AC3FF6"/>
    <w:rsid w:val="00AD14A1"/>
    <w:rsid w:val="00AD53BA"/>
    <w:rsid w:val="00AE0ED9"/>
    <w:rsid w:val="00AE28E1"/>
    <w:rsid w:val="00B0382C"/>
    <w:rsid w:val="00B04610"/>
    <w:rsid w:val="00B153AC"/>
    <w:rsid w:val="00B15B13"/>
    <w:rsid w:val="00B1673B"/>
    <w:rsid w:val="00B55186"/>
    <w:rsid w:val="00B67869"/>
    <w:rsid w:val="00B744AD"/>
    <w:rsid w:val="00BA4615"/>
    <w:rsid w:val="00BA6E91"/>
    <w:rsid w:val="00BB7A04"/>
    <w:rsid w:val="00BE2C27"/>
    <w:rsid w:val="00C05B9F"/>
    <w:rsid w:val="00C1388D"/>
    <w:rsid w:val="00C14AAE"/>
    <w:rsid w:val="00C17DE1"/>
    <w:rsid w:val="00C30B9E"/>
    <w:rsid w:val="00C40883"/>
    <w:rsid w:val="00C4528C"/>
    <w:rsid w:val="00C60A99"/>
    <w:rsid w:val="00C60C28"/>
    <w:rsid w:val="00C63024"/>
    <w:rsid w:val="00C71A1F"/>
    <w:rsid w:val="00CA4A9E"/>
    <w:rsid w:val="00CB4E2A"/>
    <w:rsid w:val="00CB6557"/>
    <w:rsid w:val="00CC4433"/>
    <w:rsid w:val="00CE3E64"/>
    <w:rsid w:val="00CF3562"/>
    <w:rsid w:val="00D12EEC"/>
    <w:rsid w:val="00D42E91"/>
    <w:rsid w:val="00DA42B9"/>
    <w:rsid w:val="00DB6E0D"/>
    <w:rsid w:val="00DB73DD"/>
    <w:rsid w:val="00DD4B58"/>
    <w:rsid w:val="00DD67D8"/>
    <w:rsid w:val="00DF3832"/>
    <w:rsid w:val="00DF3E87"/>
    <w:rsid w:val="00E01724"/>
    <w:rsid w:val="00E06D4A"/>
    <w:rsid w:val="00E14E96"/>
    <w:rsid w:val="00E2126C"/>
    <w:rsid w:val="00E22B67"/>
    <w:rsid w:val="00E338DA"/>
    <w:rsid w:val="00E35907"/>
    <w:rsid w:val="00E36014"/>
    <w:rsid w:val="00E51FC6"/>
    <w:rsid w:val="00E53C31"/>
    <w:rsid w:val="00E6146A"/>
    <w:rsid w:val="00E821EA"/>
    <w:rsid w:val="00E95AF7"/>
    <w:rsid w:val="00E95B19"/>
    <w:rsid w:val="00EA07BA"/>
    <w:rsid w:val="00EA1033"/>
    <w:rsid w:val="00EA407A"/>
    <w:rsid w:val="00EB05B0"/>
    <w:rsid w:val="00EC6EF5"/>
    <w:rsid w:val="00ED277B"/>
    <w:rsid w:val="00EE2717"/>
    <w:rsid w:val="00F2185E"/>
    <w:rsid w:val="00F36792"/>
    <w:rsid w:val="00F9773F"/>
    <w:rsid w:val="00FA04BF"/>
    <w:rsid w:val="00FA1815"/>
    <w:rsid w:val="00FB5987"/>
    <w:rsid w:val="00FB6472"/>
    <w:rsid w:val="00FC157E"/>
    <w:rsid w:val="00FC5FEC"/>
    <w:rsid w:val="00FD1D49"/>
    <w:rsid w:val="00FD1E2A"/>
    <w:rsid w:val="41627ECD"/>
    <w:rsid w:val="4CEF8538"/>
    <w:rsid w:val="7D45F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A4E3"/>
  <w15:docId w15:val="{F516A5FA-39EE-C94C-8281-81A23461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D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5DF0"/>
    <w:rPr>
      <w:color w:val="0000FF"/>
      <w:u w:val="single"/>
    </w:rPr>
  </w:style>
  <w:style w:type="character" w:styleId="CommentReference">
    <w:name w:val="annotation reference"/>
    <w:basedOn w:val="DefaultParagraphFont"/>
    <w:uiPriority w:val="99"/>
    <w:semiHidden/>
    <w:unhideWhenUsed/>
    <w:rsid w:val="00B04610"/>
    <w:rPr>
      <w:sz w:val="16"/>
      <w:szCs w:val="16"/>
    </w:rPr>
  </w:style>
  <w:style w:type="paragraph" w:styleId="CommentText">
    <w:name w:val="annotation text"/>
    <w:basedOn w:val="Normal"/>
    <w:link w:val="CommentTextChar"/>
    <w:uiPriority w:val="99"/>
    <w:semiHidden/>
    <w:unhideWhenUsed/>
    <w:rsid w:val="00B04610"/>
    <w:pPr>
      <w:spacing w:line="240" w:lineRule="auto"/>
    </w:pPr>
    <w:rPr>
      <w:sz w:val="20"/>
      <w:szCs w:val="20"/>
    </w:rPr>
  </w:style>
  <w:style w:type="character" w:customStyle="1" w:styleId="CommentTextChar">
    <w:name w:val="Comment Text Char"/>
    <w:basedOn w:val="DefaultParagraphFont"/>
    <w:link w:val="CommentText"/>
    <w:uiPriority w:val="99"/>
    <w:semiHidden/>
    <w:rsid w:val="00B04610"/>
    <w:rPr>
      <w:sz w:val="20"/>
      <w:szCs w:val="20"/>
    </w:rPr>
  </w:style>
  <w:style w:type="paragraph" w:styleId="CommentSubject">
    <w:name w:val="annotation subject"/>
    <w:basedOn w:val="CommentText"/>
    <w:next w:val="CommentText"/>
    <w:link w:val="CommentSubjectChar"/>
    <w:uiPriority w:val="99"/>
    <w:semiHidden/>
    <w:unhideWhenUsed/>
    <w:rsid w:val="00B04610"/>
    <w:rPr>
      <w:b/>
      <w:bCs/>
    </w:rPr>
  </w:style>
  <w:style w:type="character" w:customStyle="1" w:styleId="CommentSubjectChar">
    <w:name w:val="Comment Subject Char"/>
    <w:basedOn w:val="CommentTextChar"/>
    <w:link w:val="CommentSubject"/>
    <w:uiPriority w:val="99"/>
    <w:semiHidden/>
    <w:rsid w:val="00B04610"/>
    <w:rPr>
      <w:b/>
      <w:bCs/>
      <w:sz w:val="20"/>
      <w:szCs w:val="20"/>
    </w:rPr>
  </w:style>
  <w:style w:type="paragraph" w:styleId="BalloonText">
    <w:name w:val="Balloon Text"/>
    <w:basedOn w:val="Normal"/>
    <w:link w:val="BalloonTextChar"/>
    <w:uiPriority w:val="99"/>
    <w:semiHidden/>
    <w:unhideWhenUsed/>
    <w:rsid w:val="00B04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610"/>
    <w:rPr>
      <w:rFonts w:ascii="Tahoma" w:hAnsi="Tahoma" w:cs="Tahoma"/>
      <w:sz w:val="16"/>
      <w:szCs w:val="16"/>
    </w:rPr>
  </w:style>
  <w:style w:type="paragraph" w:styleId="Footer">
    <w:name w:val="footer"/>
    <w:basedOn w:val="Normal"/>
    <w:link w:val="FooterChar"/>
    <w:uiPriority w:val="99"/>
    <w:unhideWhenUsed/>
    <w:rsid w:val="00E35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907"/>
  </w:style>
  <w:style w:type="character" w:styleId="PageNumber">
    <w:name w:val="page number"/>
    <w:basedOn w:val="DefaultParagraphFont"/>
    <w:uiPriority w:val="99"/>
    <w:semiHidden/>
    <w:unhideWhenUsed/>
    <w:rsid w:val="00E35907"/>
  </w:style>
  <w:style w:type="paragraph" w:styleId="Revision">
    <w:name w:val="Revision"/>
    <w:hidden/>
    <w:uiPriority w:val="99"/>
    <w:semiHidden/>
    <w:rsid w:val="00BA6E91"/>
    <w:pPr>
      <w:spacing w:after="0" w:line="240" w:lineRule="auto"/>
    </w:pPr>
  </w:style>
  <w:style w:type="paragraph" w:styleId="Header">
    <w:name w:val="header"/>
    <w:basedOn w:val="Normal"/>
    <w:link w:val="HeaderChar"/>
    <w:uiPriority w:val="99"/>
    <w:unhideWhenUsed/>
    <w:rsid w:val="00BA6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91"/>
  </w:style>
  <w:style w:type="table" w:styleId="TableGrid">
    <w:name w:val="Table Grid"/>
    <w:basedOn w:val="TableNormal"/>
    <w:uiPriority w:val="59"/>
    <w:rsid w:val="0016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4A8"/>
    <w:pPr>
      <w:ind w:left="720"/>
      <w:contextualSpacing/>
    </w:pPr>
  </w:style>
  <w:style w:type="character" w:customStyle="1" w:styleId="UnresolvedMention">
    <w:name w:val="Unresolved Mention"/>
    <w:basedOn w:val="DefaultParagraphFont"/>
    <w:uiPriority w:val="99"/>
    <w:semiHidden/>
    <w:unhideWhenUsed/>
    <w:rsid w:val="005A4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71471">
      <w:bodyDiv w:val="1"/>
      <w:marLeft w:val="0"/>
      <w:marRight w:val="0"/>
      <w:marTop w:val="0"/>
      <w:marBottom w:val="0"/>
      <w:divBdr>
        <w:top w:val="none" w:sz="0" w:space="0" w:color="auto"/>
        <w:left w:val="none" w:sz="0" w:space="0" w:color="auto"/>
        <w:bottom w:val="none" w:sz="0" w:space="0" w:color="auto"/>
        <w:right w:val="none" w:sz="0" w:space="0" w:color="auto"/>
      </w:divBdr>
    </w:div>
    <w:div w:id="781262727">
      <w:bodyDiv w:val="1"/>
      <w:marLeft w:val="0"/>
      <w:marRight w:val="0"/>
      <w:marTop w:val="0"/>
      <w:marBottom w:val="0"/>
      <w:divBdr>
        <w:top w:val="none" w:sz="0" w:space="0" w:color="auto"/>
        <w:left w:val="none" w:sz="0" w:space="0" w:color="auto"/>
        <w:bottom w:val="none" w:sz="0" w:space="0" w:color="auto"/>
        <w:right w:val="none" w:sz="0" w:space="0" w:color="auto"/>
      </w:divBdr>
    </w:div>
    <w:div w:id="1031688989">
      <w:bodyDiv w:val="1"/>
      <w:marLeft w:val="0"/>
      <w:marRight w:val="0"/>
      <w:marTop w:val="0"/>
      <w:marBottom w:val="0"/>
      <w:divBdr>
        <w:top w:val="none" w:sz="0" w:space="0" w:color="auto"/>
        <w:left w:val="none" w:sz="0" w:space="0" w:color="auto"/>
        <w:bottom w:val="none" w:sz="0" w:space="0" w:color="auto"/>
        <w:right w:val="none" w:sz="0" w:space="0" w:color="auto"/>
      </w:divBdr>
    </w:div>
    <w:div w:id="1087775054">
      <w:bodyDiv w:val="1"/>
      <w:marLeft w:val="0"/>
      <w:marRight w:val="0"/>
      <w:marTop w:val="0"/>
      <w:marBottom w:val="0"/>
      <w:divBdr>
        <w:top w:val="none" w:sz="0" w:space="0" w:color="auto"/>
        <w:left w:val="none" w:sz="0" w:space="0" w:color="auto"/>
        <w:bottom w:val="none" w:sz="0" w:space="0" w:color="auto"/>
        <w:right w:val="none" w:sz="0" w:space="0" w:color="auto"/>
      </w:divBdr>
    </w:div>
    <w:div w:id="1467552927">
      <w:bodyDiv w:val="1"/>
      <w:marLeft w:val="0"/>
      <w:marRight w:val="0"/>
      <w:marTop w:val="0"/>
      <w:marBottom w:val="0"/>
      <w:divBdr>
        <w:top w:val="none" w:sz="0" w:space="0" w:color="auto"/>
        <w:left w:val="none" w:sz="0" w:space="0" w:color="auto"/>
        <w:bottom w:val="none" w:sz="0" w:space="0" w:color="auto"/>
        <w:right w:val="none" w:sz="0" w:space="0" w:color="auto"/>
      </w:divBdr>
    </w:div>
    <w:div w:id="1686202537">
      <w:bodyDiv w:val="1"/>
      <w:marLeft w:val="0"/>
      <w:marRight w:val="0"/>
      <w:marTop w:val="0"/>
      <w:marBottom w:val="0"/>
      <w:divBdr>
        <w:top w:val="none" w:sz="0" w:space="0" w:color="auto"/>
        <w:left w:val="none" w:sz="0" w:space="0" w:color="auto"/>
        <w:bottom w:val="none" w:sz="0" w:space="0" w:color="auto"/>
        <w:right w:val="none" w:sz="0" w:space="0" w:color="auto"/>
      </w:divBdr>
    </w:div>
    <w:div w:id="1826583128">
      <w:bodyDiv w:val="1"/>
      <w:marLeft w:val="0"/>
      <w:marRight w:val="0"/>
      <w:marTop w:val="0"/>
      <w:marBottom w:val="0"/>
      <w:divBdr>
        <w:top w:val="none" w:sz="0" w:space="0" w:color="auto"/>
        <w:left w:val="none" w:sz="0" w:space="0" w:color="auto"/>
        <w:bottom w:val="none" w:sz="0" w:space="0" w:color="auto"/>
        <w:right w:val="none" w:sz="0" w:space="0" w:color="auto"/>
      </w:divBdr>
    </w:div>
    <w:div w:id="194970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56/NEJMms2009984" TargetMode="External"/><Relationship Id="rId13" Type="http://schemas.openxmlformats.org/officeDocument/2006/relationships/hyperlink" Target="https://www.youtube.com/watch?v=azj5b0vA2H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id/3219639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dc.gov/coronavirus/2019-ncov/hcp/telehealth.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i.org/10.1093/jamia/ocaa067" TargetMode="External"/><Relationship Id="rId14" Type="http://schemas.openxmlformats.org/officeDocument/2006/relationships/hyperlink" Target="https://www.youtube.com/watch?v=tNHY3f_dEx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8D29E-8B84-4000-9139-F11CA2E2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13352</Words>
  <Characters>76108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Montefiore</Company>
  <LinksUpToDate>false</LinksUpToDate>
  <CharactersWithSpaces>89282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Wasserstein</dc:creator>
  <cp:lastModifiedBy>Ramos, Michelle A</cp:lastModifiedBy>
  <cp:revision>2</cp:revision>
  <dcterms:created xsi:type="dcterms:W3CDTF">2020-12-01T21:39:00Z</dcterms:created>
  <dcterms:modified xsi:type="dcterms:W3CDTF">2020-12-01T21:39:00Z</dcterms:modified>
</cp:coreProperties>
</file>