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bookmarkStart w:colFirst="0" w:colLast="0" w:name="_gjdgxs" w:id="0"/>
      <w:bookmarkEnd w:id="0"/>
      <w:r w:rsidDel="00000000" w:rsidR="00000000" w:rsidRPr="00000000">
        <w:rPr>
          <w:b w:val="1"/>
          <w:sz w:val="28"/>
          <w:szCs w:val="28"/>
          <w:rtl w:val="0"/>
        </w:rPr>
        <w:t xml:space="preserve">CSER HARMONIZED MEASURE REPOSITORY: Country of Origin</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Country of Origin</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CSER2 novel measure</w:t>
            </w:r>
          </w:p>
        </w:tc>
      </w:tr>
      <w:tr>
        <w:trPr>
          <w:cantSplit w:val="0"/>
          <w:tblHeader w:val="0"/>
        </w:trPr>
        <w:tc>
          <w:tcPr/>
          <w:p w:rsidR="00000000" w:rsidDel="00000000" w:rsidP="00000000" w:rsidRDefault="00000000" w:rsidRPr="00000000" w14:paraId="00000008">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9">
            <w:pPr>
              <w:pageBreakBefore w:val="0"/>
              <w:rPr/>
            </w:pPr>
            <w:r w:rsidDel="00000000" w:rsidR="00000000" w:rsidRPr="00000000">
              <w:rPr>
                <w:rtl w:val="0"/>
              </w:rPr>
              <w:t xml:space="preserve">Contextual Factors/Individual/Family Factors</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B">
            <w:pPr>
              <w:pageBreakBefore w:val="0"/>
              <w:rPr/>
            </w:pPr>
            <w:r w:rsidDel="00000000" w:rsidR="00000000" w:rsidRPr="00000000">
              <w:rPr>
                <w:rtl w:val="0"/>
              </w:rPr>
              <w:t xml:space="preserve">Country of birth</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D">
            <w:pPr>
              <w:pageBreakBefore w:val="0"/>
              <w:rPr/>
            </w:pPr>
            <w:r w:rsidDel="00000000" w:rsidR="00000000" w:rsidRPr="00000000">
              <w:rPr>
                <w:rtl w:val="0"/>
              </w:rPr>
              <w:t xml:space="preserve">To understand how participants identify with different racial and ethnic categories</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0F">
            <w:pPr>
              <w:pageBreakBefore w:val="0"/>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1">
            <w:pPr>
              <w:pageBreakBefore w:val="0"/>
              <w:rPr/>
            </w:pPr>
            <w:r w:rsidDel="00000000" w:rsidR="00000000" w:rsidRPr="00000000">
              <w:rPr>
                <w:rtl w:val="0"/>
              </w:rPr>
              <w:t xml:space="preserve">1m 20s</w:t>
            </w:r>
          </w:p>
        </w:tc>
      </w:tr>
      <w:tr>
        <w:trPr>
          <w:cantSplit w:val="0"/>
          <w:tblHeader w:val="0"/>
        </w:trPr>
        <w:tc>
          <w:tcPr/>
          <w:p w:rsidR="00000000" w:rsidDel="00000000" w:rsidP="00000000" w:rsidRDefault="00000000" w:rsidRPr="00000000" w14:paraId="00000012">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3">
            <w:pPr>
              <w:pageBreakBefore w:val="0"/>
              <w:rPr/>
            </w:pPr>
            <w:r w:rsidDel="00000000" w:rsidR="00000000" w:rsidRPr="00000000">
              <w:rPr>
                <w:rtl w:val="0"/>
              </w:rPr>
              <w:t xml:space="preserve">Patient/Parent</w:t>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Age range(s) of respondents</w:t>
            </w:r>
          </w:p>
        </w:tc>
        <w:tc>
          <w:tcPr/>
          <w:p w:rsidR="00000000" w:rsidDel="00000000" w:rsidP="00000000" w:rsidRDefault="00000000" w:rsidRPr="00000000" w14:paraId="00000015">
            <w:pPr>
              <w:pageBreakBefore w:val="0"/>
              <w:rPr/>
            </w:pPr>
            <w:r w:rsidDel="00000000" w:rsidR="00000000" w:rsidRPr="00000000">
              <w:rPr>
                <w:rtl w:val="0"/>
              </w:rPr>
              <w:t xml:space="preserve">Adult</w:t>
            </w:r>
          </w:p>
        </w:tc>
      </w:tr>
      <w:tr>
        <w:trPr>
          <w:cantSplit w:val="0"/>
          <w:trHeight w:val="260" w:hRule="atLeast"/>
          <w:tblHeader w:val="0"/>
        </w:trPr>
        <w:tc>
          <w:tcPr>
            <w:vMerge w:val="restart"/>
          </w:tcPr>
          <w:p w:rsidR="00000000" w:rsidDel="00000000" w:rsidP="00000000" w:rsidRDefault="00000000" w:rsidRPr="00000000" w14:paraId="00000016">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7">
            <w:pPr>
              <w:pageBreakBefore w:val="0"/>
              <w:rPr/>
            </w:pPr>
            <w:r w:rsidDel="00000000" w:rsidR="00000000" w:rsidRPr="00000000">
              <w:rPr>
                <w:rtl w:val="0"/>
              </w:rPr>
              <w:t xml:space="preserve">Original</w:t>
            </w:r>
            <w:r w:rsidDel="00000000" w:rsidR="00000000" w:rsidRPr="00000000">
              <w:rPr>
                <w:rtl w:val="0"/>
              </w:rPr>
              <w:t xml:space="preserve"> scale: 1</w:t>
            </w:r>
            <w:r w:rsidDel="00000000" w:rsidR="00000000" w:rsidRPr="00000000">
              <w:rPr>
                <w:rtl w:val="0"/>
              </w:rPr>
              <w:t xml:space="preserve"> item</w:t>
            </w:r>
          </w:p>
        </w:tc>
      </w:tr>
      <w:tr>
        <w:trPr>
          <w:cantSplit w:val="0"/>
          <w:trHeight w:val="260" w:hRule="atLeast"/>
          <w:tblHeader w:val="0"/>
        </w:trPr>
        <w:tc>
          <w:tcPr>
            <w:vMerge w:val="continue"/>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9">
            <w:pPr>
              <w:pageBreakBefore w:val="0"/>
              <w:rPr/>
            </w:pPr>
            <w:r w:rsidDel="00000000" w:rsidR="00000000" w:rsidRPr="00000000">
              <w:rPr>
                <w:rtl w:val="0"/>
              </w:rPr>
              <w:t xml:space="preserve">CSER Adapted: NA</w:t>
            </w:r>
          </w:p>
        </w:tc>
      </w:tr>
      <w:tr>
        <w:trPr>
          <w:cantSplit w:val="0"/>
          <w:trHeight w:val="120" w:hRule="atLeast"/>
          <w:tblHeader w:val="0"/>
        </w:trPr>
        <w:tc>
          <w:tcPr>
            <w:vMerge w:val="restart"/>
          </w:tcPr>
          <w:p w:rsidR="00000000" w:rsidDel="00000000" w:rsidP="00000000" w:rsidRDefault="00000000" w:rsidRPr="00000000" w14:paraId="0000001A">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B">
            <w:pPr>
              <w:pageBreakBefore w:val="0"/>
              <w:tabs>
                <w:tab w:val="left" w:leader="none" w:pos="1140"/>
              </w:tabs>
              <w:rPr/>
            </w:pPr>
            <w:r w:rsidDel="00000000" w:rsidR="00000000" w:rsidRPr="00000000">
              <w:rPr>
                <w:rtl w:val="0"/>
              </w:rPr>
              <w:t xml:space="preserve">N/A</w:t>
            </w:r>
          </w:p>
        </w:tc>
      </w:tr>
      <w:tr>
        <w:trPr>
          <w:cantSplit w:val="0"/>
          <w:trHeight w:val="120"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D">
            <w:pPr>
              <w:pageBreakBefore w:val="0"/>
              <w:tabs>
                <w:tab w:val="left" w:leader="none" w:pos="1140"/>
              </w:tabs>
              <w:rPr/>
            </w:pPr>
            <w:r w:rsidDel="00000000" w:rsidR="00000000" w:rsidRPr="00000000">
              <w:rPr>
                <w:rtl w:val="0"/>
              </w:rPr>
              <w:t xml:space="preserve">N/A</w:t>
            </w:r>
          </w:p>
        </w:tc>
      </w:tr>
      <w:tr>
        <w:trPr>
          <w:cantSplit w:val="0"/>
          <w:trHeight w:val="120" w:hRule="atLeast"/>
          <w:tblHeader w:val="0"/>
        </w:trPr>
        <w:tc>
          <w:tcPr>
            <w:vMerge w:val="restart"/>
          </w:tcPr>
          <w:p w:rsidR="00000000" w:rsidDel="00000000" w:rsidP="00000000" w:rsidRDefault="00000000" w:rsidRPr="00000000" w14:paraId="0000001E">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1F">
            <w:pPr>
              <w:pageBreakBefore w:val="0"/>
              <w:rPr/>
            </w:pPr>
            <w:r w:rsidDel="00000000" w:rsidR="00000000" w:rsidRPr="00000000">
              <w:rPr>
                <w:rtl w:val="0"/>
              </w:rPr>
              <w:t xml:space="preserve">OPEN ENDED</w:t>
            </w: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3">
            <w:pPr>
              <w:pageBreakBefore w:val="0"/>
              <w:rPr/>
            </w:pPr>
            <w:r w:rsidDel="00000000" w:rsidR="00000000" w:rsidRPr="00000000">
              <w:rPr>
                <w:rtl w:val="0"/>
              </w:rPr>
              <w:t xml:space="preserve">Open ended</w:t>
            </w:r>
          </w:p>
        </w:tc>
      </w:tr>
      <w:tr>
        <w:trPr>
          <w:cantSplit w:val="0"/>
          <w:trHeight w:val="120" w:hRule="atLeast"/>
          <w:tblHeader w:val="0"/>
        </w:trPr>
        <w:tc>
          <w:tcPr>
            <w:vMerge w:val="restart"/>
          </w:tcPr>
          <w:p w:rsidR="00000000" w:rsidDel="00000000" w:rsidP="00000000" w:rsidRDefault="00000000" w:rsidRPr="00000000" w14:paraId="00000024">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5">
            <w:pPr>
              <w:pageBreakBefore w:val="0"/>
              <w:rPr/>
            </w:pPr>
            <w:r w:rsidDel="00000000" w:rsidR="00000000" w:rsidRPr="00000000">
              <w:rPr>
                <w:rtl w:val="0"/>
              </w:rPr>
              <w:t xml:space="preserve">Categorical </w:t>
            </w: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8">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9">
            <w:pPr>
              <w:pageBreakBefore w:val="0"/>
              <w:rPr/>
            </w:pPr>
            <w:r w:rsidDel="00000000" w:rsidR="00000000" w:rsidRPr="00000000">
              <w:rPr>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B">
            <w:pPr>
              <w:pageBreakBefore w:val="0"/>
              <w:rPr/>
            </w:pPr>
            <w:r w:rsidDel="00000000" w:rsidR="00000000" w:rsidRPr="00000000">
              <w:rPr>
                <w:rtl w:val="0"/>
              </w:rPr>
              <w:t xml:space="preserve">Original scale</w:t>
            </w:r>
          </w:p>
        </w:tc>
      </w:tr>
      <w:tr>
        <w:trPr>
          <w:cantSplit w:val="0"/>
          <w:tblHeader w:val="0"/>
        </w:trPr>
        <w:tc>
          <w:tcPr/>
          <w:p w:rsidR="00000000" w:rsidDel="00000000" w:rsidP="00000000" w:rsidRDefault="00000000" w:rsidRPr="00000000" w14:paraId="0000002C">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D">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E">
            <w:pPr>
              <w:pageBreakBefore w:val="0"/>
              <w:rPr>
                <w:b w:val="1"/>
              </w:rPr>
            </w:pPr>
            <w:r w:rsidDel="00000000" w:rsidR="00000000" w:rsidRPr="00000000">
              <w:rPr>
                <w:rtl w:val="0"/>
              </w:rPr>
            </w:r>
          </w:p>
        </w:tc>
        <w:tc>
          <w:tcPr/>
          <w:p w:rsidR="00000000" w:rsidDel="00000000" w:rsidP="00000000" w:rsidRDefault="00000000" w:rsidRPr="00000000" w14:paraId="0000002F">
            <w:pPr>
              <w:pageBreakBefore w:val="0"/>
              <w:rPr/>
            </w:pPr>
            <w:r w:rsidDel="00000000" w:rsidR="00000000" w:rsidRPr="00000000">
              <w:rPr>
                <w:rtl w:val="0"/>
              </w:rPr>
              <w:t xml:space="preserve">Examples: Paper and pencil, computer adaptive test, interview</w:t>
            </w:r>
          </w:p>
        </w:tc>
      </w:tr>
      <w:tr>
        <w:trPr>
          <w:cantSplit w:val="0"/>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1">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2">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3">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6">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8">
            <w:pPr>
              <w:pageBreakBefore w:val="0"/>
              <w:rPr/>
            </w:pPr>
            <w:r w:rsidDel="00000000" w:rsidR="00000000" w:rsidRPr="00000000">
              <w:rPr>
                <w:rtl w:val="0"/>
              </w:rPr>
              <w:t xml:space="preserve">NA</w:t>
            </w:r>
          </w:p>
        </w:tc>
      </w:tr>
      <w:tr>
        <w:trPr>
          <w:cantSplit w:val="0"/>
          <w:trHeight w:val="1080" w:hRule="atLeast"/>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A">
            <w:pPr>
              <w:pageBreakBefore w:val="0"/>
              <w:rPr/>
            </w:pPr>
            <w:r w:rsidDel="00000000" w:rsidR="00000000" w:rsidRPr="00000000">
              <w:rPr>
                <w:rtl w:val="0"/>
              </w:rPr>
              <w:t xml:space="preserve">NA</w:t>
            </w:r>
          </w:p>
        </w:tc>
      </w:tr>
      <w:tr>
        <w:trPr>
          <w:cantSplit w:val="0"/>
          <w:trHeight w:val="400" w:hRule="atLeast"/>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C">
            <w:pPr>
              <w:pageBreakBefore w:val="0"/>
              <w:rPr/>
            </w:pPr>
            <w:r w:rsidDel="00000000" w:rsidR="00000000" w:rsidRPr="00000000">
              <w:rPr>
                <w:rtl w:val="0"/>
              </w:rPr>
              <w:t xml:space="preserve">NA</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3F">
      <w:pPr>
        <w:pageBreakBefore w:val="0"/>
        <w:rPr>
          <w:b w:val="1"/>
        </w:rPr>
      </w:pPr>
      <w:r w:rsidDel="00000000" w:rsidR="00000000" w:rsidRPr="00000000">
        <w:rPr>
          <w:b w:val="1"/>
          <w:rtl w:val="0"/>
        </w:rPr>
        <w:t xml:space="preserve">CSER2 novel measure</w:t>
      </w:r>
    </w:p>
    <w:p w:rsidR="00000000" w:rsidDel="00000000" w:rsidP="00000000" w:rsidRDefault="00000000" w:rsidRPr="00000000" w14:paraId="00000040">
      <w:pPr>
        <w:pageBreakBefore w:val="0"/>
        <w:rPr/>
      </w:pPr>
      <w:r w:rsidDel="00000000" w:rsidR="00000000" w:rsidRPr="00000000">
        <w:rPr>
          <w:rtl w:val="0"/>
        </w:rPr>
        <w:t xml:space="preserve">A major goal of this research is to increase diversity in genomic research so that new advances in genomic medicine are available to everyone.  To do this, we need to understand how our participants identify with different racial and ethnic categories.</w:t>
      </w:r>
    </w:p>
    <w:p w:rsidR="00000000" w:rsidDel="00000000" w:rsidP="00000000" w:rsidRDefault="00000000" w:rsidRPr="00000000" w14:paraId="00000041">
      <w:pPr>
        <w:pageBreakBefore w:val="0"/>
        <w:spacing w:line="276" w:lineRule="auto"/>
        <w:ind w:left="720"/>
        <w:rPr/>
      </w:pPr>
      <w:r w:rsidDel="00000000" w:rsidR="00000000" w:rsidRPr="00000000">
        <w:rPr>
          <w:rtl w:val="0"/>
        </w:rPr>
      </w:r>
    </w:p>
    <w:p w:rsidR="00000000" w:rsidDel="00000000" w:rsidP="00000000" w:rsidRDefault="00000000" w:rsidRPr="00000000" w14:paraId="00000042">
      <w:pPr>
        <w:pageBreakBefore w:val="0"/>
        <w:spacing w:line="276" w:lineRule="auto"/>
        <w:ind w:left="720"/>
        <w:rPr/>
      </w:pPr>
      <w:r w:rsidDel="00000000" w:rsidR="00000000" w:rsidRPr="00000000">
        <w:rPr>
          <w:rtl w:val="0"/>
        </w:rPr>
        <w:t xml:space="preserve">Where were you born? (country)     </w:t>
      </w:r>
      <w:r w:rsidDel="00000000" w:rsidR="00000000" w:rsidRPr="00000000">
        <w:rPr>
          <w:b w:val="1"/>
          <w:rtl w:val="0"/>
        </w:rPr>
        <w:t xml:space="preserve">_________________</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45">
      <w:pPr>
        <w:pageBreakBefore w:val="0"/>
        <w:rPr>
          <w:b w:val="1"/>
        </w:rPr>
      </w:pPr>
      <w:r w:rsidDel="00000000" w:rsidR="00000000" w:rsidRPr="00000000">
        <w:rPr>
          <w:b w:val="1"/>
          <w:rtl w:val="0"/>
        </w:rPr>
        <w:t xml:space="preserve">NA</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pBdr>
          <w:bottom w:color="000000" w:space="1" w:sz="4" w:val="single"/>
        </w:pBdr>
        <w:rPr>
          <w:b w:val="1"/>
        </w:rPr>
      </w:pPr>
      <w:r w:rsidDel="00000000" w:rsidR="00000000" w:rsidRPr="00000000">
        <w:rPr>
          <w:b w:val="1"/>
          <w:rtl w:val="0"/>
        </w:rPr>
        <w:t xml:space="preserve">Paste or list CSER site-specific adaptation/deviation below</w:t>
      </w:r>
    </w:p>
    <w:p w:rsidR="00000000" w:rsidDel="00000000" w:rsidP="00000000" w:rsidRDefault="00000000" w:rsidRPr="00000000" w14:paraId="00000048">
      <w:pPr>
        <w:pageBreakBefore w:val="0"/>
        <w:pBdr>
          <w:bottom w:color="000000" w:space="1" w:sz="4" w:val="single"/>
        </w:pBdr>
        <w:rPr>
          <w:b w:val="1"/>
        </w:rPr>
      </w:pPr>
      <w:r w:rsidDel="00000000" w:rsidR="00000000" w:rsidRPr="00000000">
        <w:rPr>
          <w:b w:val="1"/>
          <w:rtl w:val="0"/>
        </w:rPr>
        <w:t xml:space="preserve">NA</w:t>
      </w:r>
    </w:p>
    <w:p w:rsidR="00000000" w:rsidDel="00000000" w:rsidP="00000000" w:rsidRDefault="00000000" w:rsidRPr="00000000" w14:paraId="00000049">
      <w:pPr>
        <w:pageBreakBefore w:val="0"/>
        <w:pBdr>
          <w:bottom w:color="000000" w:space="1" w:sz="4" w:val="single"/>
        </w:pBd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