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CSER HARMONIZED MEASURE REPOSITORY: Quality of Life (PedsQL Generic Core scale--Parent Proxy Form)</w:t>
      </w:r>
      <w:r w:rsidDel="00000000" w:rsidR="00000000" w:rsidRPr="00000000">
        <w:rPr>
          <w:rtl w:val="0"/>
        </w:rPr>
      </w:r>
    </w:p>
    <w:tbl>
      <w:tblPr>
        <w:tblStyle w:val="Table1"/>
        <w:tblW w:w="94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5"/>
        <w:gridCol w:w="5040"/>
        <w:tblGridChange w:id="0">
          <w:tblGrid>
            <w:gridCol w:w="4405"/>
            <w:gridCol w:w="5040"/>
          </w:tblGrid>
        </w:tblGridChange>
      </w:tblGrid>
      <w:tr>
        <w:trPr>
          <w:cantSplit w:val="0"/>
          <w:tblHeader w:val="0"/>
        </w:trPr>
        <w:tc>
          <w:tcPr/>
          <w:p w:rsidR="00000000" w:rsidDel="00000000" w:rsidP="00000000" w:rsidRDefault="00000000" w:rsidRPr="00000000" w14:paraId="00000002">
            <w:pPr>
              <w:pageBreakBefore w:val="0"/>
              <w:rPr>
                <w:b w:val="1"/>
              </w:rPr>
            </w:pPr>
            <w:r w:rsidDel="00000000" w:rsidR="00000000" w:rsidRPr="00000000">
              <w:rPr>
                <w:b w:val="1"/>
                <w:rtl w:val="0"/>
              </w:rPr>
              <w:t xml:space="preserve">Template topic</w:t>
            </w:r>
          </w:p>
        </w:tc>
        <w:tc>
          <w:tcPr/>
          <w:p w:rsidR="00000000" w:rsidDel="00000000" w:rsidP="00000000" w:rsidRDefault="00000000" w:rsidRPr="00000000" w14:paraId="00000003">
            <w:pPr>
              <w:pageBreakBefore w:val="0"/>
              <w:rPr>
                <w:b w:val="1"/>
              </w:rPr>
            </w:pPr>
            <w:r w:rsidDel="00000000" w:rsidR="00000000" w:rsidRPr="00000000">
              <w:rPr>
                <w:b w:val="1"/>
                <w:rtl w:val="0"/>
              </w:rPr>
              <w:t xml:space="preserve">Definition/Note</w:t>
            </w:r>
          </w:p>
        </w:tc>
      </w:tr>
      <w:tr>
        <w:trPr>
          <w:cantSplit w:val="0"/>
          <w:tblHeader w:val="0"/>
        </w:trPr>
        <w:tc>
          <w:tcPr/>
          <w:p w:rsidR="00000000" w:rsidDel="00000000" w:rsidP="00000000" w:rsidRDefault="00000000" w:rsidRPr="00000000" w14:paraId="00000004">
            <w:pPr>
              <w:pageBreakBefore w:val="0"/>
              <w:rPr>
                <w:b w:val="1"/>
              </w:rPr>
            </w:pPr>
            <w:r w:rsidDel="00000000" w:rsidR="00000000" w:rsidRPr="00000000">
              <w:rPr>
                <w:b w:val="1"/>
                <w:rtl w:val="0"/>
              </w:rPr>
              <w:t xml:space="preserve">Measure name and acronym</w:t>
            </w:r>
          </w:p>
        </w:tc>
        <w:tc>
          <w:tcPr/>
          <w:p w:rsidR="00000000" w:rsidDel="00000000" w:rsidP="00000000" w:rsidRDefault="00000000" w:rsidRPr="00000000" w14:paraId="00000005">
            <w:pPr>
              <w:pageBreakBefore w:val="0"/>
              <w:rPr/>
            </w:pPr>
            <w:r w:rsidDel="00000000" w:rsidR="00000000" w:rsidRPr="00000000">
              <w:rPr>
                <w:color w:val="000000"/>
                <w:rtl w:val="0"/>
              </w:rPr>
              <w:t xml:space="preserve">Quality of Life (PedsQL Generic Core scale)</w:t>
            </w:r>
            <w:r w:rsidDel="00000000" w:rsidR="00000000" w:rsidRPr="00000000">
              <w:rPr>
                <w:rtl w:val="0"/>
              </w:rPr>
            </w:r>
          </w:p>
        </w:tc>
      </w:tr>
      <w:tr>
        <w:trPr>
          <w:cantSplit w:val="0"/>
          <w:tblHeader w:val="0"/>
        </w:trPr>
        <w:tc>
          <w:tcPr/>
          <w:p w:rsidR="00000000" w:rsidDel="00000000" w:rsidP="00000000" w:rsidRDefault="00000000" w:rsidRPr="00000000" w14:paraId="00000006">
            <w:pPr>
              <w:pageBreakBefore w:val="0"/>
              <w:rPr>
                <w:b w:val="1"/>
              </w:rPr>
            </w:pPr>
            <w:r w:rsidDel="00000000" w:rsidR="00000000" w:rsidRPr="00000000">
              <w:rPr>
                <w:b w:val="1"/>
                <w:rtl w:val="0"/>
              </w:rPr>
              <w:t xml:space="preserve">Source citation for original measure</w:t>
            </w:r>
          </w:p>
        </w:tc>
        <w:tc>
          <w:tcPr/>
          <w:p w:rsidR="00000000" w:rsidDel="00000000" w:rsidP="00000000" w:rsidRDefault="00000000" w:rsidRPr="00000000" w14:paraId="00000007">
            <w:pPr>
              <w:pageBreakBefore w:val="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Varni, J. W., Seid, M., &amp; Rode, C. A. (1999). The PedsQL™: measurement model for the pediatric quality of life inventory. </w:t>
            </w:r>
            <w:r w:rsidDel="00000000" w:rsidR="00000000" w:rsidRPr="00000000">
              <w:rPr>
                <w:rFonts w:ascii="Arial" w:cs="Arial" w:eastAsia="Arial" w:hAnsi="Arial"/>
                <w:i w:val="1"/>
                <w:color w:val="222222"/>
                <w:sz w:val="20"/>
                <w:szCs w:val="20"/>
                <w:highlight w:val="white"/>
                <w:rtl w:val="0"/>
              </w:rPr>
              <w:t xml:space="preserve">Medical care</w:t>
            </w:r>
            <w:r w:rsidDel="00000000" w:rsidR="00000000" w:rsidRPr="00000000">
              <w:rPr>
                <w:rFonts w:ascii="Arial" w:cs="Arial" w:eastAsia="Arial" w:hAnsi="Arial"/>
                <w:color w:val="222222"/>
                <w:sz w:val="20"/>
                <w:szCs w:val="20"/>
                <w:highlight w:val="white"/>
                <w:rtl w:val="0"/>
              </w:rPr>
              <w:t xml:space="preserve">, 126-139.</w:t>
            </w:r>
          </w:p>
          <w:p w:rsidR="00000000" w:rsidDel="00000000" w:rsidP="00000000" w:rsidRDefault="00000000" w:rsidRPr="00000000" w14:paraId="00000008">
            <w:pPr>
              <w:pageBreakBefore w:val="0"/>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09">
            <w:pPr>
              <w:pageBreakBefore w:val="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Versions used in CSER are licensed and are shown here: </w:t>
            </w:r>
            <w:hyperlink r:id="rId6">
              <w:r w:rsidDel="00000000" w:rsidR="00000000" w:rsidRPr="00000000">
                <w:rPr>
                  <w:rFonts w:ascii="Arial" w:cs="Arial" w:eastAsia="Arial" w:hAnsi="Arial"/>
                  <w:color w:val="1155cc"/>
                  <w:sz w:val="20"/>
                  <w:szCs w:val="20"/>
                  <w:highlight w:val="white"/>
                  <w:u w:val="single"/>
                  <w:rtl w:val="0"/>
                </w:rPr>
                <w:t xml:space="preserve">http://www.pedsql.org/</w:t>
              </w:r>
            </w:hyperlink>
            <w:r w:rsidDel="00000000" w:rsidR="00000000" w:rsidRPr="00000000">
              <w:rPr>
                <w:rtl w:val="0"/>
              </w:rPr>
            </w:r>
          </w:p>
        </w:tc>
      </w:tr>
      <w:tr>
        <w:trPr>
          <w:cantSplit w:val="0"/>
          <w:tblHeader w:val="0"/>
        </w:trPr>
        <w:tc>
          <w:tcPr/>
          <w:p w:rsidR="00000000" w:rsidDel="00000000" w:rsidP="00000000" w:rsidRDefault="00000000" w:rsidRPr="00000000" w14:paraId="0000000A">
            <w:pPr>
              <w:pageBreakBefore w:val="0"/>
              <w:rPr>
                <w:b w:val="1"/>
              </w:rPr>
            </w:pPr>
            <w:r w:rsidDel="00000000" w:rsidR="00000000" w:rsidRPr="00000000">
              <w:rPr>
                <w:b w:val="1"/>
                <w:rtl w:val="0"/>
              </w:rPr>
              <w:t xml:space="preserve">Category of assessment (construct/ CSER framework location)</w:t>
            </w:r>
          </w:p>
        </w:tc>
        <w:tc>
          <w:tcPr/>
          <w:p w:rsidR="00000000" w:rsidDel="00000000" w:rsidP="00000000" w:rsidRDefault="00000000" w:rsidRPr="00000000" w14:paraId="0000000B">
            <w:pPr>
              <w:pageBreakBefore w:val="0"/>
              <w:rPr/>
            </w:pPr>
            <w:r w:rsidDel="00000000" w:rsidR="00000000" w:rsidRPr="00000000">
              <w:rPr>
                <w:rtl w:val="0"/>
              </w:rPr>
              <w:t xml:space="preserve">Pediatric patient self-reported health-related quality of life/CSER2 Framework: Outcomes</w:t>
            </w:r>
          </w:p>
        </w:tc>
      </w:tr>
      <w:tr>
        <w:trPr>
          <w:cantSplit w:val="0"/>
          <w:tblHeader w:val="0"/>
        </w:trPr>
        <w:tc>
          <w:tcPr/>
          <w:p w:rsidR="00000000" w:rsidDel="00000000" w:rsidP="00000000" w:rsidRDefault="00000000" w:rsidRPr="00000000" w14:paraId="0000000C">
            <w:pPr>
              <w:pageBreakBefore w:val="0"/>
              <w:rPr>
                <w:b w:val="1"/>
              </w:rPr>
            </w:pPr>
            <w:r w:rsidDel="00000000" w:rsidR="00000000" w:rsidRPr="00000000">
              <w:rPr>
                <w:b w:val="1"/>
                <w:rtl w:val="0"/>
              </w:rPr>
              <w:t xml:space="preserve">Description of measure</w:t>
            </w:r>
          </w:p>
        </w:tc>
        <w:tc>
          <w:tcPr/>
          <w:p w:rsidR="00000000" w:rsidDel="00000000" w:rsidP="00000000" w:rsidRDefault="00000000" w:rsidRPr="00000000" w14:paraId="0000000D">
            <w:pPr>
              <w:pageBreakBefore w:val="0"/>
              <w:rPr/>
            </w:pPr>
            <w:r w:rsidDel="00000000" w:rsidR="00000000" w:rsidRPr="00000000">
              <w:rPr>
                <w:rtl w:val="0"/>
              </w:rPr>
              <w:t xml:space="preserve">PedsQL is a brief, standardized, generic measure that assesses patients’ and parents’ perceptions of quality of life in pediatric patients with chronic health conditions. It consists of a core measure (with different versions for children in different age groups) and has eight supplemental models that assess specific symptoms or treatment domains. It was empirically derived from data collected from cancer patients and their parents.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The core scale PedsQL is composed of two versions of two parallel forms: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1) patient self-report forms (child age range 8 to 12 years, adolescent age range 13 to 18 years)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2) parent proxy report forms with the following versions: </w:t>
            </w:r>
            <w:r w:rsidDel="00000000" w:rsidR="00000000" w:rsidRPr="00000000">
              <w:rPr>
                <w:sz w:val="20"/>
                <w:szCs w:val="20"/>
                <w:rtl w:val="0"/>
              </w:rPr>
              <w:t xml:space="preserve">Infant (1 - 12 months), Infant (13 – 24 months), Toddlers (age 2 - 4 years), Young Child (5 - 7 years), Child (8 - 12 years), Teenagers (13 - 18 years)</w:t>
            </w:r>
            <w:r w:rsidDel="00000000" w:rsidR="00000000" w:rsidRPr="00000000">
              <w:rPr>
                <w:rtl w:val="0"/>
              </w:rPr>
            </w:r>
          </w:p>
        </w:tc>
      </w:tr>
      <w:tr>
        <w:trPr>
          <w:cantSplit w:val="0"/>
          <w:tblHeader w:val="0"/>
        </w:trPr>
        <w:tc>
          <w:tcPr/>
          <w:p w:rsidR="00000000" w:rsidDel="00000000" w:rsidP="00000000" w:rsidRDefault="00000000" w:rsidRPr="00000000" w14:paraId="00000014">
            <w:pPr>
              <w:pageBreakBefore w:val="0"/>
              <w:rPr>
                <w:b w:val="1"/>
              </w:rPr>
            </w:pPr>
            <w:r w:rsidDel="00000000" w:rsidR="00000000" w:rsidRPr="00000000">
              <w:rPr>
                <w:b w:val="1"/>
                <w:rtl w:val="0"/>
              </w:rPr>
              <w:t xml:space="preserve">Operational definition of construct</w:t>
            </w:r>
          </w:p>
        </w:tc>
        <w:tc>
          <w:tcPr/>
          <w:p w:rsidR="00000000" w:rsidDel="00000000" w:rsidP="00000000" w:rsidRDefault="00000000" w:rsidRPr="00000000" w14:paraId="00000015">
            <w:pPr>
              <w:pageBreakBefore w:val="0"/>
              <w:rPr/>
            </w:pPr>
            <w:r w:rsidDel="00000000" w:rsidR="00000000" w:rsidRPr="00000000">
              <w:rPr>
                <w:rtl w:val="0"/>
              </w:rPr>
              <w:t xml:space="preserve">Health-related quality of life (HRQOL) in pediatric patients. HRQOL reflects patient perceptions of the impact of disease and treatment functioning in a variety of dimensions that differ across age groups. Pediatric assessment of HRQOL incorporates consideration of child development and issues related to the accuracy and acceptability of parent-proxy ratings of child quality of life.</w:t>
            </w:r>
          </w:p>
        </w:tc>
      </w:tr>
      <w:tr>
        <w:trPr>
          <w:cantSplit w:val="0"/>
          <w:tblHeader w:val="0"/>
        </w:trPr>
        <w:tc>
          <w:tcPr/>
          <w:p w:rsidR="00000000" w:rsidDel="00000000" w:rsidP="00000000" w:rsidRDefault="00000000" w:rsidRPr="00000000" w14:paraId="00000016">
            <w:pPr>
              <w:pageBreakBefore w:val="0"/>
              <w:rPr>
                <w:b w:val="1"/>
              </w:rPr>
            </w:pPr>
            <w:r w:rsidDel="00000000" w:rsidR="00000000" w:rsidRPr="00000000">
              <w:rPr>
                <w:b w:val="1"/>
                <w:rtl w:val="0"/>
              </w:rPr>
              <w:t xml:space="preserve">Summary of changes made to measure for CSER (“CSER-adapted scale”), if any</w:t>
            </w:r>
          </w:p>
        </w:tc>
        <w:tc>
          <w:tcPr/>
          <w:p w:rsidR="00000000" w:rsidDel="00000000" w:rsidP="00000000" w:rsidRDefault="00000000" w:rsidRPr="00000000" w14:paraId="00000017">
            <w:pPr>
              <w:pageBreakBefore w:val="0"/>
              <w:rPr/>
            </w:pPr>
            <w:r w:rsidDel="00000000" w:rsidR="00000000" w:rsidRPr="00000000">
              <w:rPr>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18">
            <w:pPr>
              <w:pageBreakBefore w:val="0"/>
              <w:rPr>
                <w:b w:val="1"/>
              </w:rPr>
            </w:pPr>
            <w:r w:rsidDel="00000000" w:rsidR="00000000" w:rsidRPr="00000000">
              <w:rPr>
                <w:b w:val="1"/>
                <w:rtl w:val="0"/>
              </w:rPr>
              <w:t xml:space="preserve">Time to administer</w:t>
            </w:r>
          </w:p>
        </w:tc>
        <w:tc>
          <w:tcPr/>
          <w:p w:rsidR="00000000" w:rsidDel="00000000" w:rsidP="00000000" w:rsidRDefault="00000000" w:rsidRPr="00000000" w14:paraId="00000019">
            <w:pPr>
              <w:pageBreakBefore w:val="0"/>
              <w:rPr/>
            </w:pPr>
            <w:r w:rsidDel="00000000" w:rsidR="00000000" w:rsidRPr="00000000">
              <w:rPr>
                <w:rtl w:val="0"/>
              </w:rPr>
              <w:t xml:space="preserve">Not reported; assume less than 5 minutes for Core Scale</w:t>
            </w:r>
          </w:p>
        </w:tc>
      </w:tr>
      <w:tr>
        <w:trPr>
          <w:cantSplit w:val="0"/>
          <w:tblHeader w:val="0"/>
        </w:trPr>
        <w:tc>
          <w:tcPr/>
          <w:p w:rsidR="00000000" w:rsidDel="00000000" w:rsidP="00000000" w:rsidRDefault="00000000" w:rsidRPr="00000000" w14:paraId="0000001A">
            <w:pPr>
              <w:pageBreakBefore w:val="0"/>
              <w:rPr>
                <w:b w:val="1"/>
              </w:rPr>
            </w:pPr>
            <w:r w:rsidDel="00000000" w:rsidR="00000000" w:rsidRPr="00000000">
              <w:rPr>
                <w:b w:val="1"/>
                <w:rtl w:val="0"/>
              </w:rPr>
              <w:t xml:space="preserve">Target Respondent(s)</w:t>
            </w:r>
          </w:p>
        </w:tc>
        <w:tc>
          <w:tcPr/>
          <w:p w:rsidR="00000000" w:rsidDel="00000000" w:rsidP="00000000" w:rsidRDefault="00000000" w:rsidRPr="00000000" w14:paraId="0000001B">
            <w:pPr>
              <w:pageBreakBefore w:val="0"/>
              <w:rPr/>
            </w:pPr>
            <w:r w:rsidDel="00000000" w:rsidR="00000000" w:rsidRPr="00000000">
              <w:rPr>
                <w:rtl w:val="0"/>
              </w:rPr>
              <w:t xml:space="preserve">Pediatric patient/Parent as proxy for pediatric patient (Note: CSER is using Parent proxy version only)</w:t>
            </w:r>
          </w:p>
        </w:tc>
      </w:tr>
      <w:tr>
        <w:trPr>
          <w:cantSplit w:val="0"/>
          <w:tblHeader w:val="0"/>
        </w:trPr>
        <w:tc>
          <w:tcPr/>
          <w:p w:rsidR="00000000" w:rsidDel="00000000" w:rsidP="00000000" w:rsidRDefault="00000000" w:rsidRPr="00000000" w14:paraId="0000001C">
            <w:pPr>
              <w:pageBreakBefore w:val="0"/>
              <w:rPr>
                <w:b w:val="1"/>
              </w:rPr>
            </w:pPr>
            <w:r w:rsidDel="00000000" w:rsidR="00000000" w:rsidRPr="00000000">
              <w:rPr>
                <w:b w:val="1"/>
                <w:rtl w:val="0"/>
              </w:rPr>
              <w:t xml:space="preserve">Age range(s) or respondents</w:t>
            </w:r>
          </w:p>
        </w:tc>
        <w:tc>
          <w:tcPr/>
          <w:p w:rsidR="00000000" w:rsidDel="00000000" w:rsidP="00000000" w:rsidRDefault="00000000" w:rsidRPr="00000000" w14:paraId="0000001D">
            <w:pPr>
              <w:pageBreakBefore w:val="0"/>
              <w:rPr/>
            </w:pPr>
            <w:r w:rsidDel="00000000" w:rsidR="00000000" w:rsidRPr="00000000">
              <w:rPr>
                <w:rtl w:val="0"/>
              </w:rPr>
              <w:t xml:space="preserve">Infant to 18 years</w:t>
            </w:r>
          </w:p>
        </w:tc>
      </w:tr>
      <w:tr>
        <w:trPr>
          <w:cantSplit w:val="0"/>
          <w:trHeight w:val="260" w:hRule="atLeast"/>
          <w:tblHeader w:val="0"/>
        </w:trPr>
        <w:tc>
          <w:tcPr>
            <w:vMerge w:val="restart"/>
          </w:tcPr>
          <w:p w:rsidR="00000000" w:rsidDel="00000000" w:rsidP="00000000" w:rsidRDefault="00000000" w:rsidRPr="00000000" w14:paraId="0000001E">
            <w:pPr>
              <w:pageBreakBefore w:val="0"/>
              <w:rPr>
                <w:b w:val="1"/>
              </w:rPr>
            </w:pPr>
            <w:r w:rsidDel="00000000" w:rsidR="00000000" w:rsidRPr="00000000">
              <w:rPr>
                <w:b w:val="1"/>
                <w:rtl w:val="0"/>
              </w:rPr>
              <w:t xml:space="preserve">Number of items </w:t>
            </w:r>
          </w:p>
        </w:tc>
        <w:tc>
          <w:tcPr/>
          <w:p w:rsidR="00000000" w:rsidDel="00000000" w:rsidP="00000000" w:rsidRDefault="00000000" w:rsidRPr="00000000" w14:paraId="0000001F">
            <w:pPr>
              <w:pageBreakBefore w:val="0"/>
              <w:rPr/>
            </w:pPr>
            <w:r w:rsidDel="00000000" w:rsidR="00000000" w:rsidRPr="00000000">
              <w:rPr>
                <w:sz w:val="20"/>
                <w:szCs w:val="20"/>
                <w:rtl w:val="0"/>
              </w:rPr>
              <w:t xml:space="preserve">Infant (1 - 12 months): 36 items; Infant (13 – 24 months): 45 items; Toddlers (age 2 - 4 years): 21 items; Young Child (5 - 7 years): 23 items, Child (8 - 12 years): 23 items; Teenagers (13 - 18 years: 23 items</w:t>
            </w:r>
            <w:r w:rsidDel="00000000" w:rsidR="00000000" w:rsidRPr="00000000">
              <w:rPr>
                <w:rtl w:val="0"/>
              </w:rPr>
            </w:r>
          </w:p>
        </w:tc>
      </w:tr>
      <w:tr>
        <w:trPr>
          <w:cantSplit w:val="0"/>
          <w:trHeight w:val="260" w:hRule="atLeast"/>
          <w:tblHeader w:val="0"/>
        </w:trPr>
        <w:tc>
          <w:tcPr>
            <w:vMerge w:val="continue"/>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1">
            <w:pPr>
              <w:pageBreakBefore w:val="0"/>
              <w:rPr/>
            </w:pPr>
            <w:r w:rsidDel="00000000" w:rsidR="00000000" w:rsidRPr="00000000">
              <w:rPr>
                <w:rtl w:val="0"/>
              </w:rPr>
              <w:t xml:space="preserve">CSER adapted</w:t>
            </w:r>
          </w:p>
        </w:tc>
      </w:tr>
      <w:tr>
        <w:trPr>
          <w:cantSplit w:val="0"/>
          <w:trHeight w:val="120" w:hRule="atLeast"/>
          <w:tblHeader w:val="0"/>
        </w:trPr>
        <w:tc>
          <w:tcPr>
            <w:vMerge w:val="restart"/>
          </w:tcPr>
          <w:p w:rsidR="00000000" w:rsidDel="00000000" w:rsidP="00000000" w:rsidRDefault="00000000" w:rsidRPr="00000000" w14:paraId="00000022">
            <w:pPr>
              <w:pageBreakBefore w:val="0"/>
              <w:rPr>
                <w:b w:val="1"/>
              </w:rPr>
            </w:pPr>
            <w:r w:rsidDel="00000000" w:rsidR="00000000" w:rsidRPr="00000000">
              <w:rPr>
                <w:b w:val="1"/>
                <w:rtl w:val="0"/>
              </w:rPr>
              <w:t xml:space="preserve">Subscales and items per subscale  </w:t>
            </w:r>
          </w:p>
        </w:tc>
        <w:tc>
          <w:tcPr/>
          <w:p w:rsidR="00000000" w:rsidDel="00000000" w:rsidP="00000000" w:rsidRDefault="00000000" w:rsidRPr="00000000" w14:paraId="00000023">
            <w:pPr>
              <w:pageBreakBefore w:val="0"/>
              <w:tabs>
                <w:tab w:val="left" w:leader="none" w:pos="1140"/>
              </w:tabs>
              <w:rPr/>
            </w:pPr>
            <w:r w:rsidDel="00000000" w:rsidR="00000000" w:rsidRPr="00000000">
              <w:rPr>
                <w:rtl w:val="0"/>
              </w:rPr>
              <w:t xml:space="preserve">Core scale: </w:t>
            </w:r>
          </w:p>
          <w:p w:rsidR="00000000" w:rsidDel="00000000" w:rsidP="00000000" w:rsidRDefault="00000000" w:rsidRPr="00000000" w14:paraId="00000024">
            <w:pPr>
              <w:pageBreakBefore w:val="0"/>
              <w:numPr>
                <w:ilvl w:val="0"/>
                <w:numId w:val="1"/>
              </w:numPr>
              <w:tabs>
                <w:tab w:val="left" w:leader="none" w:pos="1140"/>
              </w:tabs>
              <w:ind w:left="720" w:hanging="360"/>
              <w:rPr>
                <w:u w:val="none"/>
              </w:rPr>
            </w:pPr>
            <w:r w:rsidDel="00000000" w:rsidR="00000000" w:rsidRPr="00000000">
              <w:rPr>
                <w:rtl w:val="0"/>
              </w:rPr>
              <w:t xml:space="preserve">Infant (1 - 12 months): physical functioning (6 items), physical symptoms (10 items), emotional functioning (12 items), social functioning (4 items), cognitive functioning (4 items)</w:t>
            </w:r>
          </w:p>
          <w:p w:rsidR="00000000" w:rsidDel="00000000" w:rsidP="00000000" w:rsidRDefault="00000000" w:rsidRPr="00000000" w14:paraId="00000025">
            <w:pPr>
              <w:pageBreakBefore w:val="0"/>
              <w:numPr>
                <w:ilvl w:val="0"/>
                <w:numId w:val="1"/>
              </w:numPr>
              <w:tabs>
                <w:tab w:val="left" w:leader="none" w:pos="1140"/>
              </w:tabs>
              <w:ind w:left="720" w:hanging="360"/>
              <w:rPr>
                <w:u w:val="none"/>
              </w:rPr>
            </w:pPr>
            <w:r w:rsidDel="00000000" w:rsidR="00000000" w:rsidRPr="00000000">
              <w:rPr>
                <w:rtl w:val="0"/>
              </w:rPr>
              <w:t xml:space="preserve">Infant (13 - 24 months): physical functioning (9 items), physical symptoms (10 items), emotional functioning (12 items), social functioning (5 items), cognitive functioning (9 items</w:t>
            </w:r>
          </w:p>
          <w:p w:rsidR="00000000" w:rsidDel="00000000" w:rsidP="00000000" w:rsidRDefault="00000000" w:rsidRPr="00000000" w14:paraId="00000026">
            <w:pPr>
              <w:pageBreakBefore w:val="0"/>
              <w:numPr>
                <w:ilvl w:val="0"/>
                <w:numId w:val="1"/>
              </w:numPr>
              <w:tabs>
                <w:tab w:val="left" w:leader="none" w:pos="1140"/>
              </w:tabs>
              <w:ind w:left="720" w:hanging="360"/>
            </w:pPr>
            <w:r w:rsidDel="00000000" w:rsidR="00000000" w:rsidRPr="00000000">
              <w:rPr>
                <w:rtl w:val="0"/>
              </w:rPr>
              <w:t xml:space="preserve">Toddlers (ages 2-4): physical functioning (8 items), emotional functioning (5 items), social functioning (5 items), school functioning (optional; 3 items)</w:t>
            </w:r>
          </w:p>
          <w:p w:rsidR="00000000" w:rsidDel="00000000" w:rsidP="00000000" w:rsidRDefault="00000000" w:rsidRPr="00000000" w14:paraId="00000027">
            <w:pPr>
              <w:pageBreakBefore w:val="0"/>
              <w:numPr>
                <w:ilvl w:val="0"/>
                <w:numId w:val="1"/>
              </w:numPr>
              <w:tabs>
                <w:tab w:val="left" w:leader="none" w:pos="1140"/>
              </w:tabs>
              <w:ind w:left="720" w:hanging="360"/>
            </w:pPr>
            <w:r w:rsidDel="00000000" w:rsidR="00000000" w:rsidRPr="00000000">
              <w:rPr>
                <w:rtl w:val="0"/>
              </w:rPr>
              <w:t xml:space="preserve">Young children (ages 5-7): physical functioning (8 items), emotional functioning (5 items), social functioning (5 items), school functioning (5 items)</w:t>
            </w:r>
          </w:p>
          <w:p w:rsidR="00000000" w:rsidDel="00000000" w:rsidP="00000000" w:rsidRDefault="00000000" w:rsidRPr="00000000" w14:paraId="00000028">
            <w:pPr>
              <w:pageBreakBefore w:val="0"/>
              <w:numPr>
                <w:ilvl w:val="0"/>
                <w:numId w:val="1"/>
              </w:numPr>
              <w:tabs>
                <w:tab w:val="left" w:leader="none" w:pos="1140"/>
              </w:tabs>
              <w:ind w:left="720" w:hanging="360"/>
            </w:pPr>
            <w:r w:rsidDel="00000000" w:rsidR="00000000" w:rsidRPr="00000000">
              <w:rPr>
                <w:rtl w:val="0"/>
              </w:rPr>
              <w:t xml:space="preserve">Children (ages 8-12): physical functioning (8 items), emotional functioning (5 items), social functioning (5 items), school functioning (5 items)</w:t>
            </w:r>
          </w:p>
          <w:p w:rsidR="00000000" w:rsidDel="00000000" w:rsidP="00000000" w:rsidRDefault="00000000" w:rsidRPr="00000000" w14:paraId="00000029">
            <w:pPr>
              <w:pageBreakBefore w:val="0"/>
              <w:numPr>
                <w:ilvl w:val="0"/>
                <w:numId w:val="1"/>
              </w:numPr>
              <w:tabs>
                <w:tab w:val="left" w:leader="none" w:pos="1140"/>
              </w:tabs>
              <w:ind w:left="720" w:hanging="360"/>
            </w:pPr>
            <w:r w:rsidDel="00000000" w:rsidR="00000000" w:rsidRPr="00000000">
              <w:rPr>
                <w:rtl w:val="0"/>
              </w:rPr>
              <w:t xml:space="preserve">Teens (ages 13-18): physical functioning (8 items), emotional functioning (5 items), social functioning (5 items), school functioning (5 items)</w:t>
            </w:r>
          </w:p>
          <w:p w:rsidR="00000000" w:rsidDel="00000000" w:rsidP="00000000" w:rsidRDefault="00000000" w:rsidRPr="00000000" w14:paraId="0000002A">
            <w:pPr>
              <w:pageBreakBefore w:val="0"/>
              <w:tabs>
                <w:tab w:val="left" w:leader="none" w:pos="1140"/>
              </w:tabs>
              <w:rPr/>
            </w:pPr>
            <w:r w:rsidDel="00000000" w:rsidR="00000000" w:rsidRPr="00000000">
              <w:rPr>
                <w:rtl w:val="0"/>
              </w:rPr>
            </w:r>
          </w:p>
          <w:p w:rsidR="00000000" w:rsidDel="00000000" w:rsidP="00000000" w:rsidRDefault="00000000" w:rsidRPr="00000000" w14:paraId="0000002B">
            <w:pPr>
              <w:pageBreakBefore w:val="0"/>
              <w:tabs>
                <w:tab w:val="left" w:leader="none" w:pos="1140"/>
              </w:tabs>
              <w:rPr/>
            </w:pPr>
            <w:r w:rsidDel="00000000" w:rsidR="00000000" w:rsidRPr="00000000">
              <w:rPr>
                <w:rtl w:val="0"/>
              </w:rPr>
              <w:t xml:space="preserve">Modules [Note: not used in CSER]: Pain 3 items; Nausea 5 items; Procedural </w:t>
            </w:r>
            <w:r w:rsidDel="00000000" w:rsidR="00000000" w:rsidRPr="00000000">
              <w:rPr>
                <w:rtl w:val="0"/>
              </w:rPr>
              <w:t xml:space="preserve">Anxiety</w:t>
            </w:r>
            <w:r w:rsidDel="00000000" w:rsidR="00000000" w:rsidRPr="00000000">
              <w:rPr>
                <w:rtl w:val="0"/>
              </w:rPr>
              <w:t xml:space="preserve"> 3 items; Treatment Anxiety 3 items; Worry 3 items; Cognitive Problems 7 items; Perceived Physical appearance 4 </w:t>
            </w:r>
            <w:r w:rsidDel="00000000" w:rsidR="00000000" w:rsidRPr="00000000">
              <w:rPr>
                <w:rtl w:val="0"/>
              </w:rPr>
              <w:t xml:space="preserve">items</w:t>
            </w:r>
            <w:r w:rsidDel="00000000" w:rsidR="00000000" w:rsidRPr="00000000">
              <w:rPr>
                <w:rtl w:val="0"/>
              </w:rPr>
              <w:t xml:space="preserve">; Physician/Nurse Communication 2 items.</w:t>
            </w:r>
          </w:p>
        </w:tc>
      </w:tr>
      <w:tr>
        <w:trPr>
          <w:cantSplit w:val="0"/>
          <w:trHeight w:val="120" w:hRule="atLeast"/>
          <w:tblHeader w:val="0"/>
        </w:trPr>
        <w:tc>
          <w:tcPr>
            <w:vMerge w:val="continue"/>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D">
            <w:pPr>
              <w:pageBreakBefore w:val="0"/>
              <w:tabs>
                <w:tab w:val="left" w:leader="none" w:pos="1140"/>
              </w:tabs>
              <w:rPr/>
            </w:pPr>
            <w:r w:rsidDel="00000000" w:rsidR="00000000" w:rsidRPr="00000000">
              <w:rPr>
                <w:rtl w:val="0"/>
              </w:rPr>
              <w:t xml:space="preserve">CSER adapted: Same as original (CORE items, parent proxy version, English and Spanish)</w:t>
            </w:r>
          </w:p>
        </w:tc>
      </w:tr>
      <w:tr>
        <w:trPr>
          <w:cantSplit w:val="0"/>
          <w:trHeight w:val="120" w:hRule="atLeast"/>
          <w:tblHeader w:val="0"/>
        </w:trPr>
        <w:tc>
          <w:tcPr>
            <w:vMerge w:val="restart"/>
          </w:tcPr>
          <w:p w:rsidR="00000000" w:rsidDel="00000000" w:rsidP="00000000" w:rsidRDefault="00000000" w:rsidRPr="00000000" w14:paraId="0000002E">
            <w:pPr>
              <w:pageBreakBefore w:val="0"/>
              <w:rPr>
                <w:b w:val="1"/>
              </w:rPr>
            </w:pPr>
            <w:r w:rsidDel="00000000" w:rsidR="00000000" w:rsidRPr="00000000">
              <w:rPr>
                <w:b w:val="1"/>
                <w:rtl w:val="0"/>
              </w:rPr>
              <w:t xml:space="preserve">Response scale (including anchor labels)</w:t>
            </w:r>
          </w:p>
        </w:tc>
        <w:tc>
          <w:tcPr/>
          <w:p w:rsidR="00000000" w:rsidDel="00000000" w:rsidP="00000000" w:rsidRDefault="00000000" w:rsidRPr="00000000" w14:paraId="0000002F">
            <w:pPr>
              <w:pageBreakBefore w:val="0"/>
              <w:rPr/>
            </w:pPr>
            <w:r w:rsidDel="00000000" w:rsidR="00000000" w:rsidRPr="00000000">
              <w:rPr>
                <w:rtl w:val="0"/>
              </w:rPr>
              <w:t xml:space="preserve">Original scale 4 point Likert scale scored as 0, it is never a problem; 1 it is sometimes a problem; 2, it is often a problem; 3 it is always a problem.</w:t>
            </w:r>
          </w:p>
        </w:tc>
      </w:tr>
      <w:tr>
        <w:trPr>
          <w:cantSplit w:val="0"/>
          <w:trHeight w:val="120" w:hRule="atLeast"/>
          <w:tblHeader w:val="0"/>
        </w:trPr>
        <w:tc>
          <w:tcPr>
            <w:vMerge w:val="continue"/>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1">
            <w:pPr>
              <w:pageBreakBefore w:val="0"/>
              <w:rPr/>
            </w:pPr>
            <w:r w:rsidDel="00000000" w:rsidR="00000000" w:rsidRPr="00000000">
              <w:rPr>
                <w:rtl w:val="0"/>
              </w:rPr>
              <w:t xml:space="preserve">CSER adapted</w:t>
            </w:r>
          </w:p>
        </w:tc>
      </w:tr>
      <w:tr>
        <w:trPr>
          <w:cantSplit w:val="0"/>
          <w:trHeight w:val="120" w:hRule="atLeast"/>
          <w:tblHeader w:val="0"/>
        </w:trPr>
        <w:tc>
          <w:tcPr>
            <w:vMerge w:val="restart"/>
          </w:tcPr>
          <w:p w:rsidR="00000000" w:rsidDel="00000000" w:rsidP="00000000" w:rsidRDefault="00000000" w:rsidRPr="00000000" w14:paraId="00000032">
            <w:pPr>
              <w:pageBreakBefore w:val="0"/>
              <w:rPr>
                <w:b w:val="1"/>
              </w:rPr>
            </w:pPr>
            <w:r w:rsidDel="00000000" w:rsidR="00000000" w:rsidRPr="00000000">
              <w:rPr>
                <w:b w:val="1"/>
                <w:rtl w:val="0"/>
              </w:rPr>
              <w:t xml:space="preserve">Scoring instructions </w:t>
            </w:r>
          </w:p>
        </w:tc>
        <w:tc>
          <w:tcPr/>
          <w:p w:rsidR="00000000" w:rsidDel="00000000" w:rsidP="00000000" w:rsidRDefault="00000000" w:rsidRPr="00000000" w14:paraId="00000033">
            <w:pPr>
              <w:pageBreakBefore w:val="0"/>
              <w:ind w:left="0" w:firstLine="0"/>
              <w:rPr>
                <w:sz w:val="20"/>
                <w:szCs w:val="20"/>
              </w:rPr>
            </w:pPr>
            <w:r w:rsidDel="00000000" w:rsidR="00000000" w:rsidRPr="00000000">
              <w:rPr>
                <w:sz w:val="20"/>
                <w:szCs w:val="20"/>
                <w:rtl w:val="0"/>
              </w:rPr>
              <w:t xml:space="preserve">1.      </w:t>
            </w:r>
            <w:r w:rsidDel="00000000" w:rsidR="00000000" w:rsidRPr="00000000">
              <w:rPr>
                <w:i w:val="1"/>
                <w:sz w:val="20"/>
                <w:szCs w:val="20"/>
                <w:u w:val="single"/>
                <w:rtl w:val="0"/>
              </w:rPr>
              <w:t xml:space="preserve">Step 1: Transform Scores</w:t>
            </w:r>
            <w:r w:rsidDel="00000000" w:rsidR="00000000" w:rsidRPr="00000000">
              <w:rPr>
                <w:sz w:val="20"/>
                <w:szCs w:val="20"/>
                <w:rtl w:val="0"/>
              </w:rPr>
              <w:t xml:space="preserve">. Items are reversed scored and linearly transformed to a 0-100 scale as follows: 0=100, 1=75, 2=50, 3=25, 4=0.</w:t>
            </w:r>
          </w:p>
          <w:p w:rsidR="00000000" w:rsidDel="00000000" w:rsidP="00000000" w:rsidRDefault="00000000" w:rsidRPr="00000000" w14:paraId="00000034">
            <w:pPr>
              <w:pageBreakBefore w:val="0"/>
              <w:ind w:left="0" w:firstLine="0"/>
              <w:rPr>
                <w:i w:val="1"/>
                <w:sz w:val="20"/>
                <w:szCs w:val="20"/>
                <w:u w:val="single"/>
              </w:rPr>
            </w:pPr>
            <w:r w:rsidDel="00000000" w:rsidR="00000000" w:rsidRPr="00000000">
              <w:rPr>
                <w:i w:val="1"/>
                <w:sz w:val="20"/>
                <w:szCs w:val="20"/>
                <w:rtl w:val="0"/>
              </w:rPr>
              <w:t xml:space="preserve">2.      </w:t>
            </w:r>
            <w:r w:rsidDel="00000000" w:rsidR="00000000" w:rsidRPr="00000000">
              <w:rPr>
                <w:i w:val="1"/>
                <w:sz w:val="20"/>
                <w:szCs w:val="20"/>
                <w:u w:val="single"/>
                <w:rtl w:val="0"/>
              </w:rPr>
              <w:t xml:space="preserve">Step 2: Calculate Scores</w:t>
            </w:r>
          </w:p>
          <w:p w:rsidR="00000000" w:rsidDel="00000000" w:rsidP="00000000" w:rsidRDefault="00000000" w:rsidRPr="00000000" w14:paraId="00000035">
            <w:pPr>
              <w:pageBreakBefore w:val="0"/>
              <w:ind w:left="720" w:firstLine="0"/>
              <w:rPr>
                <w:sz w:val="20"/>
                <w:szCs w:val="20"/>
              </w:rPr>
            </w:pPr>
            <w:r w:rsidDel="00000000" w:rsidR="00000000" w:rsidRPr="00000000">
              <w:rPr>
                <w:sz w:val="20"/>
                <w:szCs w:val="20"/>
                <w:rtl w:val="0"/>
              </w:rPr>
              <w:t xml:space="preserve">§  </w:t>
            </w:r>
            <w:r w:rsidDel="00000000" w:rsidR="00000000" w:rsidRPr="00000000">
              <w:rPr>
                <w:sz w:val="20"/>
                <w:szCs w:val="20"/>
                <w:u w:val="single"/>
                <w:rtl w:val="0"/>
              </w:rPr>
              <w:t xml:space="preserve">Dimensions</w:t>
            </w:r>
            <w:r w:rsidDel="00000000" w:rsidR="00000000" w:rsidRPr="00000000">
              <w:rPr>
                <w:b w:val="1"/>
                <w:sz w:val="20"/>
                <w:szCs w:val="20"/>
                <w:rtl w:val="0"/>
              </w:rPr>
              <w:t xml:space="preserve">: </w:t>
            </w:r>
            <w:r w:rsidDel="00000000" w:rsidR="00000000" w:rsidRPr="00000000">
              <w:rPr>
                <w:sz w:val="20"/>
                <w:szCs w:val="20"/>
                <w:rtl w:val="0"/>
              </w:rPr>
              <w:t xml:space="preserve">Mean score = Sum of the items over the number of items answered. NOTE: If more than 50% of the items in the scale are missing, the scale scores should not be computed.</w:t>
            </w:r>
          </w:p>
          <w:p w:rsidR="00000000" w:rsidDel="00000000" w:rsidP="00000000" w:rsidRDefault="00000000" w:rsidRPr="00000000" w14:paraId="00000036">
            <w:pPr>
              <w:pageBreakBefore w:val="0"/>
              <w:ind w:left="720" w:firstLine="0"/>
              <w:rPr>
                <w:sz w:val="20"/>
                <w:szCs w:val="20"/>
                <w:u w:val="single"/>
              </w:rPr>
            </w:pPr>
            <w:r w:rsidDel="00000000" w:rsidR="00000000" w:rsidRPr="00000000">
              <w:rPr>
                <w:sz w:val="20"/>
                <w:szCs w:val="20"/>
                <w:rtl w:val="0"/>
              </w:rPr>
              <w:t xml:space="preserve">§  </w:t>
            </w:r>
            <w:r w:rsidDel="00000000" w:rsidR="00000000" w:rsidRPr="00000000">
              <w:rPr>
                <w:sz w:val="20"/>
                <w:szCs w:val="20"/>
                <w:u w:val="single"/>
                <w:rtl w:val="0"/>
              </w:rPr>
              <w:t xml:space="preserve">Summary scores</w:t>
            </w:r>
          </w:p>
          <w:p w:rsidR="00000000" w:rsidDel="00000000" w:rsidP="00000000" w:rsidRDefault="00000000" w:rsidRPr="00000000" w14:paraId="00000037">
            <w:pPr>
              <w:pageBreakBefore w:val="0"/>
              <w:ind w:left="1440" w:firstLine="0"/>
              <w:rPr>
                <w:sz w:val="20"/>
                <w:szCs w:val="20"/>
              </w:rPr>
            </w:pPr>
            <w:r w:rsidDel="00000000" w:rsidR="00000000" w:rsidRPr="00000000">
              <w:rPr>
                <w:sz w:val="20"/>
                <w:szCs w:val="20"/>
                <w:rtl w:val="0"/>
              </w:rPr>
              <w:t xml:space="preserve">·        </w:t>
            </w:r>
            <w:r w:rsidDel="00000000" w:rsidR="00000000" w:rsidRPr="00000000">
              <w:rPr>
                <w:i w:val="1"/>
                <w:sz w:val="20"/>
                <w:szCs w:val="20"/>
                <w:u w:val="single"/>
                <w:rtl w:val="0"/>
              </w:rPr>
              <w:t xml:space="preserve">Psychosocial Health Summary Score</w:t>
            </w:r>
            <w:r w:rsidDel="00000000" w:rsidR="00000000" w:rsidRPr="00000000">
              <w:rPr>
                <w:b w:val="1"/>
                <w:sz w:val="20"/>
                <w:szCs w:val="20"/>
                <w:rtl w:val="0"/>
              </w:rPr>
              <w:t xml:space="preserve">:</w:t>
            </w:r>
            <w:r w:rsidDel="00000000" w:rsidR="00000000" w:rsidRPr="00000000">
              <w:rPr>
                <w:sz w:val="20"/>
                <w:szCs w:val="20"/>
                <w:rtl w:val="0"/>
              </w:rPr>
              <w:t xml:space="preserve"> Sum of the items over the number of items answered in the Emotional, Social, and School Functioning Scales</w:t>
            </w:r>
          </w:p>
          <w:p w:rsidR="00000000" w:rsidDel="00000000" w:rsidP="00000000" w:rsidRDefault="00000000" w:rsidRPr="00000000" w14:paraId="00000038">
            <w:pPr>
              <w:pageBreakBefore w:val="0"/>
              <w:ind w:left="1440" w:firstLine="0"/>
              <w:rPr>
                <w:sz w:val="20"/>
                <w:szCs w:val="20"/>
              </w:rPr>
            </w:pPr>
            <w:r w:rsidDel="00000000" w:rsidR="00000000" w:rsidRPr="00000000">
              <w:rPr>
                <w:sz w:val="20"/>
                <w:szCs w:val="20"/>
                <w:rtl w:val="0"/>
              </w:rPr>
              <w:t xml:space="preserve">·        </w:t>
            </w:r>
            <w:r w:rsidDel="00000000" w:rsidR="00000000" w:rsidRPr="00000000">
              <w:rPr>
                <w:i w:val="1"/>
                <w:sz w:val="20"/>
                <w:szCs w:val="20"/>
                <w:u w:val="single"/>
                <w:rtl w:val="0"/>
              </w:rPr>
              <w:t xml:space="preserve">Physical Health Summary Score</w:t>
            </w:r>
            <w:r w:rsidDel="00000000" w:rsidR="00000000" w:rsidRPr="00000000">
              <w:rPr>
                <w:b w:val="1"/>
                <w:sz w:val="20"/>
                <w:szCs w:val="20"/>
                <w:rtl w:val="0"/>
              </w:rPr>
              <w:t xml:space="preserve">: </w:t>
            </w:r>
            <w:r w:rsidDel="00000000" w:rsidR="00000000" w:rsidRPr="00000000">
              <w:rPr>
                <w:sz w:val="20"/>
                <w:szCs w:val="20"/>
                <w:rtl w:val="0"/>
              </w:rPr>
              <w:t xml:space="preserve">Sum of the items over the number of items answered in the Physical Functioning Scale Score.</w:t>
            </w:r>
          </w:p>
          <w:p w:rsidR="00000000" w:rsidDel="00000000" w:rsidP="00000000" w:rsidRDefault="00000000" w:rsidRPr="00000000" w14:paraId="00000039">
            <w:pPr>
              <w:pageBreakBefore w:val="0"/>
              <w:ind w:left="720" w:firstLine="0"/>
              <w:rPr>
                <w:b w:val="1"/>
                <w:sz w:val="20"/>
                <w:szCs w:val="20"/>
              </w:rPr>
            </w:pPr>
            <w:r w:rsidDel="00000000" w:rsidR="00000000" w:rsidRPr="00000000">
              <w:rPr>
                <w:sz w:val="20"/>
                <w:szCs w:val="20"/>
                <w:rtl w:val="0"/>
              </w:rPr>
              <w:t xml:space="preserve">§  </w:t>
            </w:r>
            <w:r w:rsidDel="00000000" w:rsidR="00000000" w:rsidRPr="00000000">
              <w:rPr>
                <w:sz w:val="20"/>
                <w:szCs w:val="20"/>
                <w:u w:val="single"/>
                <w:rtl w:val="0"/>
              </w:rPr>
              <w:t xml:space="preserve">Total Score</w:t>
            </w:r>
            <w:r w:rsidDel="00000000" w:rsidR="00000000" w:rsidRPr="00000000">
              <w:rPr>
                <w:b w:val="1"/>
                <w:sz w:val="20"/>
                <w:szCs w:val="20"/>
                <w:rtl w:val="0"/>
              </w:rPr>
              <w:t xml:space="preserve">: </w:t>
            </w:r>
            <w:r w:rsidDel="00000000" w:rsidR="00000000" w:rsidRPr="00000000">
              <w:rPr>
                <w:sz w:val="20"/>
                <w:szCs w:val="20"/>
                <w:rtl w:val="0"/>
              </w:rPr>
              <w:t xml:space="preserve">Sum of all the items over the number of items answered on all the Scales</w:t>
            </w:r>
            <w:r w:rsidDel="00000000" w:rsidR="00000000" w:rsidRPr="00000000">
              <w:rPr>
                <w:b w:val="1"/>
                <w:sz w:val="20"/>
                <w:szCs w:val="20"/>
                <w:rtl w:val="0"/>
              </w:rPr>
              <w:t xml:space="preserve">.</w:t>
            </w:r>
          </w:p>
          <w:p w:rsidR="00000000" w:rsidDel="00000000" w:rsidP="00000000" w:rsidRDefault="00000000" w:rsidRPr="00000000" w14:paraId="0000003A">
            <w:pPr>
              <w:pageBreakBefore w:val="0"/>
              <w:ind w:left="720" w:firstLine="0"/>
              <w:rPr>
                <w:b w:val="1"/>
                <w:sz w:val="20"/>
                <w:szCs w:val="20"/>
              </w:rPr>
            </w:pPr>
            <w:r w:rsidDel="00000000" w:rsidR="00000000" w:rsidRPr="00000000">
              <w:rPr>
                <w:rtl w:val="0"/>
              </w:rPr>
            </w:r>
          </w:p>
          <w:p w:rsidR="00000000" w:rsidDel="00000000" w:rsidP="00000000" w:rsidRDefault="00000000" w:rsidRPr="00000000" w14:paraId="0000003B">
            <w:pPr>
              <w:pageBreakBefore w:val="0"/>
              <w:spacing w:after="160" w:lineRule="auto"/>
              <w:ind w:left="0" w:firstLine="0"/>
              <w:rPr/>
            </w:pPr>
            <w:r w:rsidDel="00000000" w:rsidR="00000000" w:rsidRPr="00000000">
              <w:rPr>
                <w:sz w:val="20"/>
                <w:szCs w:val="20"/>
                <w:rtl w:val="0"/>
              </w:rPr>
              <w:t xml:space="preserve"> </w:t>
            </w:r>
            <w:r w:rsidDel="00000000" w:rsidR="00000000" w:rsidRPr="00000000">
              <w:rPr>
                <w:sz w:val="20"/>
                <w:szCs w:val="20"/>
                <w:u w:val="single"/>
                <w:rtl w:val="0"/>
              </w:rPr>
              <w:t xml:space="preserve">Missing data</w:t>
            </w:r>
            <w:r w:rsidDel="00000000" w:rsidR="00000000" w:rsidRPr="00000000">
              <w:rPr>
                <w:sz w:val="20"/>
                <w:szCs w:val="20"/>
                <w:rtl w:val="0"/>
              </w:rPr>
              <w:t xml:space="preserve">: Scoring instructions specify that a scale score cannot be computed if a respondent is missing data for more than 50% of items. If there are missing items (but at least 50% of items have responses), each missing value should be replaced with the mean of the completed items.</w:t>
            </w:r>
            <w:r w:rsidDel="00000000" w:rsidR="00000000" w:rsidRPr="00000000">
              <w:rPr>
                <w:rtl w:val="0"/>
              </w:rPr>
            </w:r>
          </w:p>
        </w:tc>
      </w:tr>
      <w:tr>
        <w:trPr>
          <w:cantSplit w:val="0"/>
          <w:trHeight w:val="120" w:hRule="atLeast"/>
          <w:tblHeader w:val="0"/>
        </w:trPr>
        <w:tc>
          <w:tcPr>
            <w:vMerge w:val="continue"/>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D">
            <w:pPr>
              <w:pageBreakBefore w:val="0"/>
              <w:rPr/>
            </w:pPr>
            <w:r w:rsidDel="00000000" w:rsidR="00000000" w:rsidRPr="00000000">
              <w:rPr>
                <w:rtl w:val="0"/>
              </w:rPr>
              <w:t xml:space="preserve">CSER adapted: Same as original</w:t>
            </w:r>
          </w:p>
        </w:tc>
      </w:tr>
      <w:tr>
        <w:trPr>
          <w:cantSplit w:val="0"/>
          <w:trHeight w:val="300" w:hRule="atLeast"/>
          <w:tblHeader w:val="0"/>
        </w:trPr>
        <w:tc>
          <w:tcPr/>
          <w:p w:rsidR="00000000" w:rsidDel="00000000" w:rsidP="00000000" w:rsidRDefault="00000000" w:rsidRPr="00000000" w14:paraId="0000003E">
            <w:pPr>
              <w:pageBreakBefore w:val="0"/>
              <w:rPr>
                <w:b w:val="1"/>
              </w:rPr>
            </w:pPr>
            <w:r w:rsidDel="00000000" w:rsidR="00000000" w:rsidRPr="00000000">
              <w:rPr>
                <w:b w:val="1"/>
                <w:rtl w:val="0"/>
              </w:rPr>
              <w:t xml:space="preserve">Validated cutoff scores, if any</w:t>
            </w:r>
          </w:p>
        </w:tc>
        <w:tc>
          <w:tcPr/>
          <w:p w:rsidR="00000000" w:rsidDel="00000000" w:rsidP="00000000" w:rsidRDefault="00000000" w:rsidRPr="00000000" w14:paraId="0000003F">
            <w:pPr>
              <w:pageBreakBefore w:val="0"/>
              <w:rPr/>
            </w:pPr>
            <w:bookmarkStart w:colFirst="0" w:colLast="0" w:name="_gjdgxs" w:id="0"/>
            <w:bookmarkEnd w:id="0"/>
            <w:r w:rsidDel="00000000" w:rsidR="00000000" w:rsidRPr="00000000">
              <w:rPr>
                <w:rtl w:val="0"/>
              </w:rPr>
              <w:t xml:space="preserve">None reported in original version</w:t>
            </w:r>
          </w:p>
        </w:tc>
      </w:tr>
      <w:tr>
        <w:trPr>
          <w:cantSplit w:val="0"/>
          <w:tblHeader w:val="0"/>
        </w:trPr>
        <w:tc>
          <w:tcPr/>
          <w:p w:rsidR="00000000" w:rsidDel="00000000" w:rsidP="00000000" w:rsidRDefault="00000000" w:rsidRPr="00000000" w14:paraId="00000040">
            <w:pPr>
              <w:pageBreakBefore w:val="0"/>
              <w:rPr>
                <w:b w:val="1"/>
              </w:rPr>
            </w:pPr>
            <w:r w:rsidDel="00000000" w:rsidR="00000000" w:rsidRPr="00000000">
              <w:rPr>
                <w:b w:val="1"/>
                <w:rtl w:val="0"/>
              </w:rPr>
              <w:t xml:space="preserve">Norms (if available)</w:t>
            </w:r>
          </w:p>
        </w:tc>
        <w:tc>
          <w:tcPr/>
          <w:p w:rsidR="00000000" w:rsidDel="00000000" w:rsidP="00000000" w:rsidRDefault="00000000" w:rsidRPr="00000000" w14:paraId="00000041">
            <w:pPr>
              <w:pageBreakBefore w:val="0"/>
              <w:rPr/>
            </w:pPr>
            <w:r w:rsidDel="00000000" w:rsidR="00000000" w:rsidRPr="00000000">
              <w:rPr>
                <w:rtl w:val="0"/>
              </w:rPr>
              <w:t xml:space="preserve">None reported for original version</w:t>
            </w:r>
          </w:p>
        </w:tc>
      </w:tr>
      <w:tr>
        <w:trPr>
          <w:cantSplit w:val="0"/>
          <w:tblHeader w:val="0"/>
        </w:trPr>
        <w:tc>
          <w:tcPr/>
          <w:p w:rsidR="00000000" w:rsidDel="00000000" w:rsidP="00000000" w:rsidRDefault="00000000" w:rsidRPr="00000000" w14:paraId="00000042">
            <w:pPr>
              <w:pageBreakBefore w:val="0"/>
              <w:rPr>
                <w:b w:val="1"/>
              </w:rPr>
            </w:pPr>
            <w:r w:rsidDel="00000000" w:rsidR="00000000" w:rsidRPr="00000000">
              <w:rPr>
                <w:b w:val="1"/>
                <w:rtl w:val="0"/>
              </w:rPr>
              <w:t xml:space="preserve">Contact for permission to use/adapt (associated cost)</w:t>
            </w:r>
          </w:p>
        </w:tc>
        <w:tc>
          <w:tcPr/>
          <w:p w:rsidR="00000000" w:rsidDel="00000000" w:rsidP="00000000" w:rsidRDefault="00000000" w:rsidRPr="00000000" w14:paraId="00000043">
            <w:pPr>
              <w:pageBreakBefore w:val="0"/>
              <w:rPr/>
            </w:pPr>
            <w:r w:rsidDel="00000000" w:rsidR="00000000" w:rsidRPr="00000000">
              <w:rPr>
                <w:rtl w:val="0"/>
              </w:rPr>
              <w:t xml:space="preserve">James W. Varni, PhD; licensed versions see PedsMetrics </w:t>
            </w:r>
            <w:hyperlink r:id="rId7">
              <w:r w:rsidDel="00000000" w:rsidR="00000000" w:rsidRPr="00000000">
                <w:rPr>
                  <w:color w:val="0000ff"/>
                  <w:u w:val="single"/>
                  <w:rtl w:val="0"/>
                </w:rPr>
                <w:t xml:space="preserve">https://www.pedsql.org/about_pedsql.html</w:t>
              </w:r>
            </w:hyperlink>
            <w:r w:rsidDel="00000000" w:rsidR="00000000" w:rsidRPr="00000000">
              <w:rPr>
                <w:rtl w:val="0"/>
              </w:rPr>
              <w:t xml:space="preserve">; original version (not used in CSER) in public domain.</w:t>
            </w:r>
          </w:p>
        </w:tc>
      </w:tr>
      <w:tr>
        <w:trPr>
          <w:cantSplit w:val="0"/>
          <w:tblHeader w:val="0"/>
        </w:trPr>
        <w:tc>
          <w:tcPr/>
          <w:p w:rsidR="00000000" w:rsidDel="00000000" w:rsidP="00000000" w:rsidRDefault="00000000" w:rsidRPr="00000000" w14:paraId="00000044">
            <w:pPr>
              <w:pageBreakBefore w:val="0"/>
              <w:rPr>
                <w:b w:val="1"/>
              </w:rPr>
            </w:pPr>
            <w:r w:rsidDel="00000000" w:rsidR="00000000" w:rsidRPr="00000000">
              <w:rPr>
                <w:b w:val="1"/>
                <w:rtl w:val="0"/>
              </w:rPr>
              <w:t xml:space="preserve">Validated administration modes</w:t>
            </w:r>
          </w:p>
        </w:tc>
        <w:tc>
          <w:tcPr/>
          <w:p w:rsidR="00000000" w:rsidDel="00000000" w:rsidP="00000000" w:rsidRDefault="00000000" w:rsidRPr="00000000" w14:paraId="00000045">
            <w:pPr>
              <w:pageBreakBefore w:val="0"/>
              <w:rPr/>
            </w:pPr>
            <w:r w:rsidDel="00000000" w:rsidR="00000000" w:rsidRPr="00000000">
              <w:rPr>
                <w:rtl w:val="0"/>
              </w:rPr>
              <w:t xml:space="preserve">Paper and pencil/computer assisted</w:t>
            </w:r>
          </w:p>
        </w:tc>
      </w:tr>
      <w:tr>
        <w:trPr>
          <w:cantSplit w:val="0"/>
          <w:tblHeader w:val="0"/>
        </w:trPr>
        <w:tc>
          <w:tcPr/>
          <w:p w:rsidR="00000000" w:rsidDel="00000000" w:rsidP="00000000" w:rsidRDefault="00000000" w:rsidRPr="00000000" w14:paraId="00000046">
            <w:pPr>
              <w:pageBreakBefore w:val="0"/>
              <w:rPr>
                <w:b w:val="1"/>
              </w:rPr>
            </w:pPr>
            <w:r w:rsidDel="00000000" w:rsidR="00000000" w:rsidRPr="00000000">
              <w:rPr>
                <w:b w:val="1"/>
                <w:rtl w:val="0"/>
              </w:rPr>
              <w:t xml:space="preserve"> Original measure languages available </w:t>
            </w:r>
          </w:p>
        </w:tc>
        <w:tc>
          <w:tcPr/>
          <w:p w:rsidR="00000000" w:rsidDel="00000000" w:rsidP="00000000" w:rsidRDefault="00000000" w:rsidRPr="00000000" w14:paraId="00000047">
            <w:pPr>
              <w:pageBreakBefore w:val="0"/>
              <w:rPr/>
            </w:pPr>
            <w:r w:rsidDel="00000000" w:rsidR="00000000" w:rsidRPr="00000000">
              <w:rPr>
                <w:rtl w:val="0"/>
              </w:rPr>
              <w:t xml:space="preserve">English, Spanish</w:t>
            </w:r>
          </w:p>
        </w:tc>
      </w:tr>
      <w:tr>
        <w:trPr>
          <w:cantSplit w:val="0"/>
          <w:tblHeader w:val="0"/>
        </w:trPr>
        <w:tc>
          <w:tcPr/>
          <w:p w:rsidR="00000000" w:rsidDel="00000000" w:rsidP="00000000" w:rsidRDefault="00000000" w:rsidRPr="00000000" w14:paraId="00000048">
            <w:pPr>
              <w:pageBreakBefore w:val="0"/>
              <w:rPr>
                <w:b w:val="1"/>
              </w:rPr>
            </w:pPr>
            <w:r w:rsidDel="00000000" w:rsidR="00000000" w:rsidRPr="00000000">
              <w:rPr>
                <w:b w:val="1"/>
                <w:rtl w:val="0"/>
              </w:rPr>
              <w:t xml:space="preserve">Evidence for reliability (provide type and values)</w:t>
            </w:r>
          </w:p>
        </w:tc>
        <w:tc>
          <w:tcPr/>
          <w:p w:rsidR="00000000" w:rsidDel="00000000" w:rsidP="00000000" w:rsidRDefault="00000000" w:rsidRPr="00000000" w14:paraId="00000049">
            <w:pPr>
              <w:pageBreakBefore w:val="0"/>
              <w:rPr/>
            </w:pPr>
            <w:r w:rsidDel="00000000" w:rsidR="00000000" w:rsidRPr="00000000">
              <w:rPr>
                <w:rtl w:val="0"/>
              </w:rPr>
              <w:t xml:space="preserve">Coefficient alpha (.83 for patient and .86 for parent-proxy) </w:t>
            </w:r>
          </w:p>
        </w:tc>
      </w:tr>
      <w:tr>
        <w:trPr>
          <w:cantSplit w:val="0"/>
          <w:tblHeader w:val="0"/>
        </w:trPr>
        <w:tc>
          <w:tcPr/>
          <w:p w:rsidR="00000000" w:rsidDel="00000000" w:rsidP="00000000" w:rsidRDefault="00000000" w:rsidRPr="00000000" w14:paraId="0000004A">
            <w:pPr>
              <w:pageBreakBefore w:val="0"/>
              <w:rPr>
                <w:b w:val="1"/>
              </w:rPr>
            </w:pPr>
            <w:r w:rsidDel="00000000" w:rsidR="00000000" w:rsidRPr="00000000">
              <w:rPr>
                <w:b w:val="1"/>
                <w:rtl w:val="0"/>
              </w:rPr>
              <w:t xml:space="preserve">Evidence for validity (provide type and values if available)</w:t>
            </w:r>
          </w:p>
        </w:tc>
        <w:tc>
          <w:tcPr/>
          <w:p w:rsidR="00000000" w:rsidDel="00000000" w:rsidP="00000000" w:rsidRDefault="00000000" w:rsidRPr="00000000" w14:paraId="0000004B">
            <w:pPr>
              <w:pageBreakBefore w:val="0"/>
              <w:rPr/>
            </w:pPr>
            <w:r w:rsidDel="00000000" w:rsidR="00000000" w:rsidRPr="00000000">
              <w:rPr>
                <w:rtl w:val="0"/>
              </w:rPr>
              <w:t xml:space="preserve">Known groups approach to discriminant validity demonstrated for patients on and off treatment; Small to medium positive intercorrelations among subscales supporting multidimensional measurement model; multimethod-multitrait matrix provides additional evidence for construct validity.</w:t>
            </w:r>
          </w:p>
          <w:p w:rsidR="00000000" w:rsidDel="00000000" w:rsidP="00000000" w:rsidRDefault="00000000" w:rsidRPr="00000000" w14:paraId="0000004C">
            <w:pPr>
              <w:pageBreakBefore w:val="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Varni, J. W., Seid, M., &amp; Rode, C. A. (1999). The PedsQL™: measurement model for the pediatric quality of life inventory. </w:t>
            </w:r>
            <w:r w:rsidDel="00000000" w:rsidR="00000000" w:rsidRPr="00000000">
              <w:rPr>
                <w:rFonts w:ascii="Arial" w:cs="Arial" w:eastAsia="Arial" w:hAnsi="Arial"/>
                <w:i w:val="1"/>
                <w:color w:val="222222"/>
                <w:sz w:val="20"/>
                <w:szCs w:val="20"/>
                <w:highlight w:val="white"/>
                <w:rtl w:val="0"/>
              </w:rPr>
              <w:t xml:space="preserve">Medical care</w:t>
            </w:r>
            <w:r w:rsidDel="00000000" w:rsidR="00000000" w:rsidRPr="00000000">
              <w:rPr>
                <w:rFonts w:ascii="Arial" w:cs="Arial" w:eastAsia="Arial" w:hAnsi="Arial"/>
                <w:color w:val="222222"/>
                <w:sz w:val="20"/>
                <w:szCs w:val="20"/>
                <w:highlight w:val="white"/>
                <w:rtl w:val="0"/>
              </w:rPr>
              <w:t xml:space="preserve">, 126-139.</w:t>
            </w:r>
          </w:p>
          <w:p w:rsidR="00000000" w:rsidDel="00000000" w:rsidP="00000000" w:rsidRDefault="00000000" w:rsidRPr="00000000" w14:paraId="0000004D">
            <w:pPr>
              <w:pageBreakBefore w:val="0"/>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Fonts w:ascii="Arial" w:cs="Arial" w:eastAsia="Arial" w:hAnsi="Arial"/>
                <w:color w:val="222222"/>
                <w:sz w:val="20"/>
                <w:szCs w:val="20"/>
                <w:highlight w:val="white"/>
                <w:rtl w:val="0"/>
              </w:rPr>
              <w:t xml:space="preserve">Also see:</w:t>
            </w: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Varni, J. W., Seid, M., &amp; Kurtin, P. S. (2001). PedsQL™ 4.0: Reliability and validity of the Pediatric Quality of Life Inventory™ Version 4.0 Generic Core Scales in healthy and patient populations. </w:t>
            </w:r>
            <w:r w:rsidDel="00000000" w:rsidR="00000000" w:rsidRPr="00000000">
              <w:rPr>
                <w:rFonts w:ascii="Arial" w:cs="Arial" w:eastAsia="Arial" w:hAnsi="Arial"/>
                <w:i w:val="1"/>
                <w:color w:val="222222"/>
                <w:sz w:val="20"/>
                <w:szCs w:val="20"/>
                <w:highlight w:val="white"/>
                <w:rtl w:val="0"/>
              </w:rPr>
              <w:t xml:space="preserve">Medical care</w:t>
            </w:r>
            <w:r w:rsidDel="00000000" w:rsidR="00000000" w:rsidRPr="00000000">
              <w:rPr>
                <w:rFonts w:ascii="Arial" w:cs="Arial" w:eastAsia="Arial" w:hAnsi="Arial"/>
                <w:color w:val="222222"/>
                <w:sz w:val="20"/>
                <w:szCs w:val="20"/>
                <w:highlight w:val="white"/>
                <w:rtl w:val="0"/>
              </w:rPr>
              <w:t xml:space="preserve">, 800-812.</w:t>
            </w:r>
          </w:p>
          <w:p w:rsidR="00000000" w:rsidDel="00000000" w:rsidP="00000000" w:rsidRDefault="00000000" w:rsidRPr="00000000" w14:paraId="00000051">
            <w:pPr>
              <w:pageBreakBefore w:val="0"/>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52">
            <w:pPr>
              <w:pageBreakBefore w:val="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Also: </w:t>
            </w:r>
            <w:hyperlink r:id="rId8">
              <w:r w:rsidDel="00000000" w:rsidR="00000000" w:rsidRPr="00000000">
                <w:rPr>
                  <w:rFonts w:ascii="Arial" w:cs="Arial" w:eastAsia="Arial" w:hAnsi="Arial"/>
                  <w:color w:val="1155cc"/>
                  <w:sz w:val="20"/>
                  <w:szCs w:val="20"/>
                  <w:highlight w:val="white"/>
                  <w:u w:val="single"/>
                  <w:rtl w:val="0"/>
                </w:rPr>
                <w:t xml:space="preserve">http://www.pedsql.org/</w:t>
              </w:r>
            </w:hyperlink>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tc>
      </w:tr>
      <w:tr>
        <w:trPr>
          <w:cantSplit w:val="0"/>
          <w:trHeight w:val="1080" w:hRule="atLeast"/>
          <w:tblHeader w:val="0"/>
        </w:trPr>
        <w:tc>
          <w:tcPr/>
          <w:p w:rsidR="00000000" w:rsidDel="00000000" w:rsidP="00000000" w:rsidRDefault="00000000" w:rsidRPr="00000000" w14:paraId="00000054">
            <w:pPr>
              <w:pageBreakBefore w:val="0"/>
              <w:rPr>
                <w:b w:val="1"/>
              </w:rPr>
            </w:pPr>
            <w:r w:rsidDel="00000000" w:rsidR="00000000" w:rsidRPr="00000000">
              <w:rPr>
                <w:b w:val="1"/>
                <w:rtl w:val="0"/>
              </w:rPr>
              <w:t xml:space="preserve">Evidence for sensitivity to change</w:t>
            </w:r>
          </w:p>
        </w:tc>
        <w:tc>
          <w:tcPr/>
          <w:p w:rsidR="00000000" w:rsidDel="00000000" w:rsidP="00000000" w:rsidRDefault="00000000" w:rsidRPr="00000000" w14:paraId="00000055">
            <w:pPr>
              <w:pageBreakBefore w:val="0"/>
              <w:rPr/>
            </w:pPr>
            <w:r w:rsidDel="00000000" w:rsidR="00000000" w:rsidRPr="00000000">
              <w:rPr>
                <w:rtl w:val="0"/>
              </w:rPr>
              <w:t xml:space="preserve">See Desai, A. D., Ahou, C., Stanford, S., Halland, W., Varnit, J. W., Mangione-Smith, R. M. (2014). Validity and responsiveness of the Pediatric Quality of Life Inventory (PedsQL) 4.0 generic core scales in the pediatric inpatient setting. JAMA Pediatr, 168, 114-1121.</w:t>
            </w:r>
          </w:p>
        </w:tc>
      </w:tr>
      <w:tr>
        <w:trPr>
          <w:cantSplit w:val="0"/>
          <w:trHeight w:val="400" w:hRule="atLeast"/>
          <w:tblHeader w:val="0"/>
        </w:trPr>
        <w:tc>
          <w:tcPr/>
          <w:p w:rsidR="00000000" w:rsidDel="00000000" w:rsidP="00000000" w:rsidRDefault="00000000" w:rsidRPr="00000000" w14:paraId="00000056">
            <w:pPr>
              <w:pageBreakBefore w:val="0"/>
              <w:rPr>
                <w:b w:val="1"/>
              </w:rPr>
            </w:pPr>
            <w:r w:rsidDel="00000000" w:rsidR="00000000" w:rsidRPr="00000000">
              <w:rPr>
                <w:b w:val="1"/>
                <w:rtl w:val="0"/>
              </w:rPr>
              <w:t xml:space="preserve">Relevant references in genetics or genomics</w:t>
            </w:r>
          </w:p>
        </w:tc>
        <w:tc>
          <w:tcPr/>
          <w:p w:rsidR="00000000" w:rsidDel="00000000" w:rsidP="00000000" w:rsidRDefault="00000000" w:rsidRPr="00000000" w14:paraId="00000057">
            <w:pPr>
              <w:pageBreakBefore w:val="0"/>
              <w:rPr/>
            </w:pPr>
            <w:r w:rsidDel="00000000" w:rsidR="00000000" w:rsidRPr="00000000">
              <w:rPr>
                <w:rtl w:val="0"/>
              </w:rPr>
              <w:t xml:space="preserve">See Cohen, J. S., Biesecker, B B. Quality of life in rare genetic conditions: a systematic review of the literature. Am J Med Genet A, 152A, 1136-1156.</w:t>
            </w:r>
          </w:p>
        </w:tc>
      </w:tr>
    </w:tbl>
    <w:p w:rsidR="00000000" w:rsidDel="00000000" w:rsidP="00000000" w:rsidRDefault="00000000" w:rsidRPr="00000000" w14:paraId="00000058">
      <w:pPr>
        <w:pageBreakBefore w:val="0"/>
        <w:pBdr>
          <w:bottom w:color="000000" w:space="1" w:sz="4" w:val="single"/>
        </w:pBdr>
        <w:rPr>
          <w:b w:val="1"/>
        </w:rPr>
      </w:pPr>
      <w:r w:rsidDel="00000000" w:rsidR="00000000" w:rsidRPr="00000000">
        <w:rPr>
          <w:rtl w:val="0"/>
        </w:rPr>
      </w:r>
    </w:p>
    <w:p w:rsidR="00000000" w:rsidDel="00000000" w:rsidP="00000000" w:rsidRDefault="00000000" w:rsidRPr="00000000" w14:paraId="00000059">
      <w:pPr>
        <w:pageBreakBefore w:val="0"/>
        <w:pBdr>
          <w:bottom w:color="000000" w:space="1" w:sz="4" w:val="single"/>
        </w:pBdr>
        <w:rPr>
          <w:b w:val="1"/>
        </w:rPr>
      </w:pPr>
      <w:r w:rsidDel="00000000" w:rsidR="00000000" w:rsidRPr="00000000">
        <w:rPr>
          <w:b w:val="1"/>
          <w:rtl w:val="0"/>
        </w:rPr>
        <w:t xml:space="preserve">Paste CSER adaptation below</w:t>
      </w:r>
    </w:p>
    <w:p w:rsidR="00000000" w:rsidDel="00000000" w:rsidP="00000000" w:rsidRDefault="00000000" w:rsidRPr="00000000" w14:paraId="0000005A">
      <w:pPr>
        <w:pageBreakBefore w:val="0"/>
        <w:rPr>
          <w:b w:val="1"/>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No adaptations made</w:t>
      </w:r>
      <w:r w:rsidDel="00000000" w:rsidR="00000000" w:rsidRPr="00000000">
        <w:rPr>
          <w:rtl w:val="0"/>
        </w:rPr>
      </w:r>
    </w:p>
    <w:p w:rsidR="00000000" w:rsidDel="00000000" w:rsidP="00000000" w:rsidRDefault="00000000" w:rsidRPr="00000000" w14:paraId="0000005C">
      <w:pPr>
        <w:pageBreakBefore w:val="0"/>
        <w:rPr>
          <w:b w:val="1"/>
        </w:rPr>
      </w:pPr>
      <w:r w:rsidDel="00000000" w:rsidR="00000000" w:rsidRPr="00000000">
        <w:rPr>
          <w:rtl w:val="0"/>
        </w:rPr>
      </w:r>
    </w:p>
    <w:p w:rsidR="00000000" w:rsidDel="00000000" w:rsidP="00000000" w:rsidRDefault="00000000" w:rsidRPr="00000000" w14:paraId="0000005D">
      <w:pPr>
        <w:pageBreakBefore w:val="0"/>
        <w:pBdr>
          <w:bottom w:color="000000" w:space="1" w:sz="4" w:val="single"/>
        </w:pBdr>
        <w:rPr>
          <w:b w:val="1"/>
        </w:rPr>
      </w:pPr>
      <w:bookmarkStart w:colFirst="0" w:colLast="0" w:name="_30j0zll" w:id="1"/>
      <w:bookmarkEnd w:id="1"/>
      <w:r w:rsidDel="00000000" w:rsidR="00000000" w:rsidRPr="00000000">
        <w:rPr>
          <w:b w:val="1"/>
          <w:rtl w:val="0"/>
        </w:rPr>
        <w:t xml:space="preserve">Paste or list CSER site-specific adaptation/deviation below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edsql.org/" TargetMode="External"/><Relationship Id="rId7" Type="http://schemas.openxmlformats.org/officeDocument/2006/relationships/hyperlink" Target="https://www.pedsql.org/about_pedsql.html" TargetMode="External"/><Relationship Id="rId8" Type="http://schemas.openxmlformats.org/officeDocument/2006/relationships/hyperlink" Target="http://www.pedsq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