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8"/>
          <w:szCs w:val="28"/>
        </w:rPr>
      </w:pPr>
      <w:r w:rsidDel="00000000" w:rsidR="00000000" w:rsidRPr="00000000">
        <w:rPr>
          <w:b w:val="1"/>
          <w:sz w:val="28"/>
          <w:szCs w:val="28"/>
          <w:rtl w:val="0"/>
        </w:rPr>
        <w:t xml:space="preserve">CSER HARMONIZED MEASURE REPOSITORY: Health Literacy (Adult and Parent Versions)</w:t>
      </w:r>
    </w:p>
    <w:tbl>
      <w:tblPr>
        <w:tblStyle w:val="Table1"/>
        <w:tblW w:w="944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83"/>
        <w:gridCol w:w="7062"/>
        <w:tblGridChange w:id="0">
          <w:tblGrid>
            <w:gridCol w:w="2383"/>
            <w:gridCol w:w="7062"/>
          </w:tblGrid>
        </w:tblGridChange>
      </w:tblGrid>
      <w:tr>
        <w:trPr>
          <w:cantSplit w:val="0"/>
          <w:tblHeader w:val="0"/>
        </w:trPr>
        <w:tc>
          <w:tcPr/>
          <w:p w:rsidR="00000000" w:rsidDel="00000000" w:rsidP="00000000" w:rsidRDefault="00000000" w:rsidRPr="00000000" w14:paraId="00000002">
            <w:pPr>
              <w:pageBreakBefore w:val="0"/>
              <w:rPr>
                <w:b w:val="1"/>
              </w:rPr>
            </w:pPr>
            <w:r w:rsidDel="00000000" w:rsidR="00000000" w:rsidRPr="00000000">
              <w:rPr>
                <w:b w:val="1"/>
                <w:rtl w:val="0"/>
              </w:rPr>
              <w:t xml:space="preserve">Template topic</w:t>
            </w:r>
          </w:p>
        </w:tc>
        <w:tc>
          <w:tcPr/>
          <w:p w:rsidR="00000000" w:rsidDel="00000000" w:rsidP="00000000" w:rsidRDefault="00000000" w:rsidRPr="00000000" w14:paraId="00000003">
            <w:pPr>
              <w:pageBreakBefore w:val="0"/>
              <w:rPr>
                <w:b w:val="1"/>
              </w:rPr>
            </w:pPr>
            <w:r w:rsidDel="00000000" w:rsidR="00000000" w:rsidRPr="00000000">
              <w:rPr>
                <w:b w:val="1"/>
                <w:rtl w:val="0"/>
              </w:rPr>
              <w:t xml:space="preserve">Definition/Note</w:t>
            </w:r>
          </w:p>
        </w:tc>
      </w:tr>
      <w:tr>
        <w:trPr>
          <w:cantSplit w:val="0"/>
          <w:tblHeader w:val="0"/>
        </w:trPr>
        <w:tc>
          <w:tcPr/>
          <w:p w:rsidR="00000000" w:rsidDel="00000000" w:rsidP="00000000" w:rsidRDefault="00000000" w:rsidRPr="00000000" w14:paraId="00000004">
            <w:pPr>
              <w:pageBreakBefore w:val="0"/>
              <w:rPr>
                <w:b w:val="1"/>
              </w:rPr>
            </w:pPr>
            <w:r w:rsidDel="00000000" w:rsidR="00000000" w:rsidRPr="00000000">
              <w:rPr>
                <w:b w:val="1"/>
                <w:rtl w:val="0"/>
              </w:rPr>
              <w:t xml:space="preserve">Measure name and acronym</w:t>
            </w:r>
          </w:p>
        </w:tc>
        <w:tc>
          <w:tcPr/>
          <w:p w:rsidR="00000000" w:rsidDel="00000000" w:rsidP="00000000" w:rsidRDefault="00000000" w:rsidRPr="00000000" w14:paraId="00000005">
            <w:pPr>
              <w:pageBreakBefore w:val="0"/>
              <w:rPr/>
            </w:pPr>
            <w:r w:rsidDel="00000000" w:rsidR="00000000" w:rsidRPr="00000000">
              <w:rPr>
                <w:rtl w:val="0"/>
              </w:rPr>
              <w:t xml:space="preserve">Brief Health Literacy Screening Tool</w:t>
            </w:r>
          </w:p>
        </w:tc>
      </w:tr>
      <w:tr>
        <w:trPr>
          <w:cantSplit w:val="0"/>
          <w:tblHeader w:val="0"/>
        </w:trPr>
        <w:tc>
          <w:tcPr/>
          <w:p w:rsidR="00000000" w:rsidDel="00000000" w:rsidP="00000000" w:rsidRDefault="00000000" w:rsidRPr="00000000" w14:paraId="00000006">
            <w:pPr>
              <w:pageBreakBefore w:val="0"/>
              <w:rPr>
                <w:b w:val="1"/>
              </w:rPr>
            </w:pPr>
            <w:r w:rsidDel="00000000" w:rsidR="00000000" w:rsidRPr="00000000">
              <w:rPr>
                <w:b w:val="1"/>
                <w:rtl w:val="0"/>
              </w:rPr>
              <w:t xml:space="preserve">Source citation for original measure</w:t>
            </w:r>
          </w:p>
        </w:tc>
        <w:tc>
          <w:tcPr/>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tabs>
                <w:tab w:val="left" w:leader="none" w:pos="7"/>
              </w:tabs>
              <w:spacing w:line="259" w:lineRule="auto"/>
              <w:ind w:left="294" w:hanging="270"/>
              <w:rPr/>
            </w:pPr>
            <w:r w:rsidDel="00000000" w:rsidR="00000000" w:rsidRPr="00000000">
              <w:rPr>
                <w:color w:val="000000"/>
                <w:rtl w:val="0"/>
              </w:rPr>
              <w:t xml:space="preserve">Haun, J., Noland Dodd, V. J., Graham-Pole, J., Rienzo, B., &amp; Donaldson, P. (2009). Testing a Health Literacy Screening Tool: Implications for Utilization of a BRIEF Health Literacy Indicator. Federal Practitioner, 26(12), 24-31. </w:t>
            </w:r>
            <w:r w:rsidDel="00000000" w:rsidR="00000000" w:rsidRPr="00000000">
              <w:rPr>
                <w:rtl w:val="0"/>
              </w:rPr>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tabs>
                <w:tab w:val="left" w:leader="none" w:pos="7"/>
              </w:tabs>
              <w:spacing w:line="259" w:lineRule="auto"/>
              <w:ind w:left="294" w:hanging="270"/>
              <w:rPr/>
            </w:pPr>
            <w:r w:rsidDel="00000000" w:rsidR="00000000" w:rsidRPr="00000000">
              <w:rPr>
                <w:color w:val="000000"/>
                <w:rtl w:val="0"/>
              </w:rPr>
              <w:t xml:space="preserve">Study also reported in: Jolie Haun , Stephen Luther , Virginia Dodd &amp; Patricia Donaldson (2012) Measurement Variation Across Health Literacy Assessments: Implications for Assessment Selection in Research and Practice, Journal of Health Communication, 17:sup3, 141-159, DOI: 10.1080/10810730.2012.712615</w:t>
            </w:r>
            <w:r w:rsidDel="00000000" w:rsidR="00000000" w:rsidRPr="00000000">
              <w:rPr>
                <w:rtl w:val="0"/>
              </w:rPr>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pacing w:line="259" w:lineRule="auto"/>
              <w:ind w:left="286" w:hanging="278"/>
              <w:rPr/>
            </w:pPr>
            <w:r w:rsidDel="00000000" w:rsidR="00000000" w:rsidRPr="00000000">
              <w:rPr>
                <w:color w:val="000000"/>
                <w:rtl w:val="0"/>
              </w:rPr>
              <w:t xml:space="preserve">See also: Chew LD, Bradley KA, Boyko EJ. Brief questions to identify patients with inadequate health literacy. Fam Med. 2004 Sep;36(8):588-94. PMID: 15343421 (Source for 3 of the 4 questions)</w:t>
            </w:r>
            <w:r w:rsidDel="00000000" w:rsidR="00000000" w:rsidRPr="00000000">
              <w:rPr>
                <w:rtl w:val="0"/>
              </w:rPr>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pacing w:line="259" w:lineRule="auto"/>
              <w:ind w:left="286" w:hanging="278"/>
              <w:rPr/>
            </w:pPr>
            <w:r w:rsidDel="00000000" w:rsidR="00000000" w:rsidRPr="00000000">
              <w:rPr>
                <w:color w:val="000000"/>
                <w:rtl w:val="0"/>
              </w:rPr>
              <w:t xml:space="preserve">See also: Chew LD, Griffin JM, Partin MR, Noorbaloochi S, Grill JP, Snyder A, Bradley KA, Nugent SM, Baines AD, Vanryn M. Validation of screening questions for limited health literacy in a large VA outpatient population. J Gen Intern Med. 2008 May;23(5):561-6. doi: 10.1007/s11606-008-0520-5. PMID: 18335281 (Source for 3 of the 4 questions)</w:t>
            </w:r>
            <w:r w:rsidDel="00000000" w:rsidR="00000000" w:rsidRPr="00000000">
              <w:rPr>
                <w:rtl w:val="0"/>
              </w:rPr>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pacing w:after="160" w:line="259" w:lineRule="auto"/>
              <w:ind w:left="286" w:hanging="278"/>
              <w:rPr/>
            </w:pPr>
            <w:r w:rsidDel="00000000" w:rsidR="00000000" w:rsidRPr="00000000">
              <w:rPr>
                <w:color w:val="000000"/>
                <w:rtl w:val="0"/>
              </w:rPr>
              <w:t xml:space="preserve">See also: Wallace LS, Rogers ES, Roskos SE, Holiday DB, Weiss BD. Brief report: Screening items to identify patients with limited health literacy skills. J Gen Intern Med.  2006;21(8):874–877. PMC1831582</w:t>
            </w:r>
            <w:r w:rsidDel="00000000" w:rsidR="00000000" w:rsidRPr="00000000">
              <w:rPr>
                <w:rtl w:val="0"/>
              </w:rPr>
            </w:r>
          </w:p>
        </w:tc>
      </w:tr>
      <w:tr>
        <w:trPr>
          <w:cantSplit w:val="0"/>
          <w:tblHeader w:val="0"/>
        </w:trPr>
        <w:tc>
          <w:tcPr/>
          <w:p w:rsidR="00000000" w:rsidDel="00000000" w:rsidP="00000000" w:rsidRDefault="00000000" w:rsidRPr="00000000" w14:paraId="0000000C">
            <w:pPr>
              <w:pageBreakBefore w:val="0"/>
              <w:rPr>
                <w:b w:val="1"/>
              </w:rPr>
            </w:pPr>
            <w:r w:rsidDel="00000000" w:rsidR="00000000" w:rsidRPr="00000000">
              <w:rPr>
                <w:b w:val="1"/>
                <w:rtl w:val="0"/>
              </w:rPr>
              <w:t xml:space="preserve">Name of construct</w:t>
            </w:r>
          </w:p>
        </w:tc>
        <w:tc>
          <w:tcPr/>
          <w:p w:rsidR="00000000" w:rsidDel="00000000" w:rsidP="00000000" w:rsidRDefault="00000000" w:rsidRPr="00000000" w14:paraId="0000000D">
            <w:pPr>
              <w:pageBreakBefore w:val="0"/>
              <w:tabs>
                <w:tab w:val="left" w:leader="none" w:pos="7"/>
              </w:tabs>
              <w:rPr/>
            </w:pPr>
            <w:r w:rsidDel="00000000" w:rsidR="00000000" w:rsidRPr="00000000">
              <w:rPr>
                <w:rtl w:val="0"/>
              </w:rPr>
              <w:t xml:space="preserve">Health literacy</w:t>
            </w:r>
          </w:p>
        </w:tc>
      </w:tr>
      <w:tr>
        <w:trPr>
          <w:cantSplit w:val="0"/>
          <w:tblHeader w:val="0"/>
        </w:trPr>
        <w:tc>
          <w:tcPr/>
          <w:p w:rsidR="00000000" w:rsidDel="00000000" w:rsidP="00000000" w:rsidRDefault="00000000" w:rsidRPr="00000000" w14:paraId="0000000E">
            <w:pPr>
              <w:pageBreakBefore w:val="0"/>
              <w:rPr>
                <w:b w:val="1"/>
              </w:rPr>
            </w:pPr>
            <w:r w:rsidDel="00000000" w:rsidR="00000000" w:rsidRPr="00000000">
              <w:rPr>
                <w:b w:val="1"/>
                <w:rtl w:val="0"/>
              </w:rPr>
              <w:t xml:space="preserve">Conceptual definition</w:t>
            </w:r>
          </w:p>
        </w:tc>
        <w:tc>
          <w:tcPr/>
          <w:p w:rsidR="00000000" w:rsidDel="00000000" w:rsidP="00000000" w:rsidRDefault="00000000" w:rsidRPr="00000000" w14:paraId="0000000F">
            <w:pPr>
              <w:pageBreakBefore w:val="0"/>
              <w:tabs>
                <w:tab w:val="left" w:leader="none" w:pos="7"/>
              </w:tabs>
              <w:rPr/>
            </w:pPr>
            <w:r w:rsidDel="00000000" w:rsidR="00000000" w:rsidRPr="00000000">
              <w:rPr>
                <w:rtl w:val="0"/>
              </w:rPr>
              <w:t xml:space="preserve">“The degree to which individuals have the capacity to obtain, process, and understand basic health information and services needed to make appropriate health decisions” </w:t>
            </w:r>
          </w:p>
          <w:p w:rsidR="00000000" w:rsidDel="00000000" w:rsidP="00000000" w:rsidRDefault="00000000" w:rsidRPr="00000000" w14:paraId="00000010">
            <w:pPr>
              <w:pageBreakBefore w:val="0"/>
              <w:tabs>
                <w:tab w:val="left" w:leader="none" w:pos="7"/>
              </w:tabs>
              <w:rPr/>
            </w:pPr>
            <w:r w:rsidDel="00000000" w:rsidR="00000000" w:rsidRPr="00000000">
              <w:rPr>
                <w:rtl w:val="0"/>
              </w:rPr>
            </w:r>
          </w:p>
          <w:p w:rsidR="00000000" w:rsidDel="00000000" w:rsidP="00000000" w:rsidRDefault="00000000" w:rsidRPr="00000000" w14:paraId="00000011">
            <w:pPr>
              <w:pageBreakBefore w:val="0"/>
              <w:tabs>
                <w:tab w:val="left" w:leader="none" w:pos="7"/>
              </w:tabs>
              <w:rPr/>
            </w:pPr>
            <w:r w:rsidDel="00000000" w:rsidR="00000000" w:rsidRPr="00000000">
              <w:rPr>
                <w:rtl w:val="0"/>
              </w:rPr>
              <w:t xml:space="preserve">Ratzan, S. C., and R. M. Parker. 2000. Introduction. In National Library of Medicine current bibliographies in medicine: Health literacy. NLM Pub. No. CBM 2000-1, edited by C. R. Selden, M. Zorn, S. C. Ratzan, and R. M. Parker. Bethesda, MD: National Institutes of Health, U.S. Department of Health and Human Services. </w:t>
            </w:r>
          </w:p>
          <w:p w:rsidR="00000000" w:rsidDel="00000000" w:rsidP="00000000" w:rsidRDefault="00000000" w:rsidRPr="00000000" w14:paraId="00000012">
            <w:pPr>
              <w:pageBreakBefore w:val="0"/>
              <w:tabs>
                <w:tab w:val="left" w:leader="none" w:pos="7"/>
              </w:tabs>
              <w:rPr/>
            </w:pPr>
            <w:r w:rsidDel="00000000" w:rsidR="00000000" w:rsidRPr="00000000">
              <w:rPr>
                <w:rtl w:val="0"/>
              </w:rPr>
            </w:r>
          </w:p>
          <w:p w:rsidR="00000000" w:rsidDel="00000000" w:rsidP="00000000" w:rsidRDefault="00000000" w:rsidRPr="00000000" w14:paraId="00000013">
            <w:pPr>
              <w:pageBreakBefore w:val="0"/>
              <w:tabs>
                <w:tab w:val="left" w:leader="none" w:pos="7"/>
              </w:tabs>
              <w:rPr/>
            </w:pPr>
            <w:r w:rsidDel="00000000" w:rsidR="00000000" w:rsidRPr="00000000">
              <w:rPr>
                <w:rtl w:val="0"/>
              </w:rPr>
              <w:t xml:space="preserve">Institute of Medicine. 2004. Health literacy: A prescription to end confusion. Washington, DC: National Academy Press. </w:t>
            </w:r>
          </w:p>
        </w:tc>
      </w:tr>
      <w:tr>
        <w:trPr>
          <w:cantSplit w:val="0"/>
          <w:tblHeader w:val="0"/>
        </w:trPr>
        <w:tc>
          <w:tcPr/>
          <w:p w:rsidR="00000000" w:rsidDel="00000000" w:rsidP="00000000" w:rsidRDefault="00000000" w:rsidRPr="00000000" w14:paraId="00000014">
            <w:pPr>
              <w:pageBreakBefore w:val="0"/>
              <w:rPr>
                <w:b w:val="1"/>
                <w:highlight w:val="yellow"/>
              </w:rPr>
            </w:pPr>
            <w:r w:rsidDel="00000000" w:rsidR="00000000" w:rsidRPr="00000000">
              <w:rPr>
                <w:b w:val="1"/>
                <w:rtl w:val="0"/>
              </w:rPr>
              <w:t xml:space="preserve">Category in CSER framework</w:t>
            </w:r>
            <w:r w:rsidDel="00000000" w:rsidR="00000000" w:rsidRPr="00000000">
              <w:rPr>
                <w:rtl w:val="0"/>
              </w:rPr>
            </w:r>
          </w:p>
        </w:tc>
        <w:tc>
          <w:tcPr/>
          <w:p w:rsidR="00000000" w:rsidDel="00000000" w:rsidP="00000000" w:rsidRDefault="00000000" w:rsidRPr="00000000" w14:paraId="00000015">
            <w:pPr>
              <w:pageBreakBefore w:val="0"/>
              <w:rPr/>
            </w:pPr>
            <w:r w:rsidDel="00000000" w:rsidR="00000000" w:rsidRPr="00000000">
              <w:rPr>
                <w:rtl w:val="0"/>
              </w:rPr>
              <w:t xml:space="preserve">Patient factors</w:t>
            </w:r>
          </w:p>
        </w:tc>
      </w:tr>
      <w:tr>
        <w:trPr>
          <w:cantSplit w:val="0"/>
          <w:tblHeader w:val="0"/>
        </w:trPr>
        <w:tc>
          <w:tcPr/>
          <w:p w:rsidR="00000000" w:rsidDel="00000000" w:rsidP="00000000" w:rsidRDefault="00000000" w:rsidRPr="00000000" w14:paraId="00000016">
            <w:pPr>
              <w:pageBreakBefore w:val="0"/>
              <w:rPr>
                <w:b w:val="1"/>
              </w:rPr>
            </w:pPr>
            <w:r w:rsidDel="00000000" w:rsidR="00000000" w:rsidRPr="00000000">
              <w:rPr>
                <w:b w:val="1"/>
                <w:rtl w:val="0"/>
              </w:rPr>
              <w:t xml:space="preserve">Description of measure</w:t>
            </w:r>
          </w:p>
        </w:tc>
        <w:tc>
          <w:tcPr/>
          <w:p w:rsidR="00000000" w:rsidDel="00000000" w:rsidP="00000000" w:rsidRDefault="00000000" w:rsidRPr="00000000" w14:paraId="00000017">
            <w:pPr>
              <w:pageBreakBefore w:val="0"/>
              <w:rPr/>
            </w:pPr>
            <w:r w:rsidDel="00000000" w:rsidR="00000000" w:rsidRPr="00000000">
              <w:rPr>
                <w:rtl w:val="0"/>
              </w:rPr>
              <w:t xml:space="preserve">Self-report of health literacy skills that assesses reading comprehension,</w:t>
            </w:r>
          </w:p>
          <w:p w:rsidR="00000000" w:rsidDel="00000000" w:rsidP="00000000" w:rsidRDefault="00000000" w:rsidRPr="00000000" w14:paraId="00000018">
            <w:pPr>
              <w:pageBreakBefore w:val="0"/>
              <w:rPr/>
            </w:pPr>
            <w:r w:rsidDel="00000000" w:rsidR="00000000" w:rsidRPr="00000000">
              <w:rPr>
                <w:rtl w:val="0"/>
              </w:rPr>
              <w:t xml:space="preserve">need for assistance, verbal comprehension and confidence filling out medical forms; not performance-based, like some other popular measures of health literacy such as the STOFHLA or the REALM</w:t>
            </w:r>
          </w:p>
        </w:tc>
      </w:tr>
      <w:tr>
        <w:trPr>
          <w:cantSplit w:val="0"/>
          <w:tblHeader w:val="0"/>
        </w:trPr>
        <w:tc>
          <w:tcPr/>
          <w:p w:rsidR="00000000" w:rsidDel="00000000" w:rsidP="00000000" w:rsidRDefault="00000000" w:rsidRPr="00000000" w14:paraId="00000019">
            <w:pPr>
              <w:pageBreakBefore w:val="0"/>
              <w:rPr>
                <w:b w:val="1"/>
              </w:rPr>
            </w:pPr>
            <w:r w:rsidDel="00000000" w:rsidR="00000000" w:rsidRPr="00000000">
              <w:rPr>
                <w:b w:val="1"/>
                <w:rtl w:val="0"/>
              </w:rPr>
              <w:t xml:space="preserve">Operational definition of construct</w:t>
            </w:r>
          </w:p>
        </w:tc>
        <w:tc>
          <w:tcPr/>
          <w:p w:rsidR="00000000" w:rsidDel="00000000" w:rsidP="00000000" w:rsidRDefault="00000000" w:rsidRPr="00000000" w14:paraId="0000001A">
            <w:pPr>
              <w:pageBreakBefore w:val="0"/>
              <w:rPr/>
            </w:pPr>
            <w:r w:rsidDel="00000000" w:rsidR="00000000" w:rsidRPr="00000000">
              <w:rPr>
                <w:rtl w:val="0"/>
              </w:rPr>
              <w:t xml:space="preserve">3 screening items from Chew et al. assessed participants’ confidence filling out medical forms by themselves, how often they have someone help them read hospital materials, and how often they have problems learning about their medical condition because of difficulty reading hospital materials. Chew and colleagues (2008) state that their approach assesses literacy “</w:t>
            </w:r>
            <w:r w:rsidDel="00000000" w:rsidR="00000000" w:rsidRPr="00000000">
              <w:rPr>
                <w:color w:val="000000"/>
                <w:rtl w:val="0"/>
              </w:rPr>
              <w:t xml:space="preserve">based on an individual’s level of self-reported difficulty with understanding information or performing reading tasks they encounter in the health care setting.”</w:t>
            </w:r>
            <w:r w:rsidDel="00000000" w:rsidR="00000000" w:rsidRPr="00000000">
              <w:rPr>
                <w:rtl w:val="0"/>
              </w:rPr>
              <w:t xml:space="preserve"> A 4th item has been added to assess understanding of what individuals were told about their health, with the goal of assessing “difficulties with auditory health information” to “increase the tool’s validity” (Haun et al., 2009). CSER adopted this 4-item version. </w:t>
            </w:r>
          </w:p>
        </w:tc>
      </w:tr>
      <w:tr>
        <w:trPr>
          <w:cantSplit w:val="0"/>
          <w:tblHeader w:val="0"/>
        </w:trPr>
        <w:tc>
          <w:tcPr/>
          <w:p w:rsidR="00000000" w:rsidDel="00000000" w:rsidP="00000000" w:rsidRDefault="00000000" w:rsidRPr="00000000" w14:paraId="0000001B">
            <w:pPr>
              <w:pageBreakBefore w:val="0"/>
              <w:rPr>
                <w:b w:val="1"/>
              </w:rPr>
            </w:pPr>
            <w:r w:rsidDel="00000000" w:rsidR="00000000" w:rsidRPr="00000000">
              <w:rPr>
                <w:b w:val="1"/>
                <w:rtl w:val="0"/>
              </w:rPr>
              <w:t xml:space="preserve">Summary of changes made to measure for CSER (“CSER-adapted scale”), if any</w:t>
            </w:r>
          </w:p>
        </w:tc>
        <w:tc>
          <w:tcPr/>
          <w:p w:rsidR="00000000" w:rsidDel="00000000" w:rsidP="00000000" w:rsidRDefault="00000000" w:rsidRPr="00000000" w14:paraId="0000001C">
            <w:pPr>
              <w:pageBreakBefore w:val="0"/>
              <w:numPr>
                <w:ilvl w:val="0"/>
                <w:numId w:val="2"/>
              </w:numPr>
              <w:pBdr>
                <w:top w:space="0" w:sz="0" w:val="nil"/>
                <w:left w:space="0" w:sz="0" w:val="nil"/>
                <w:bottom w:space="0" w:sz="0" w:val="nil"/>
                <w:right w:space="0" w:sz="0" w:val="nil"/>
                <w:between w:space="0" w:sz="0" w:val="nil"/>
              </w:pBdr>
              <w:spacing w:line="259" w:lineRule="auto"/>
              <w:ind w:left="294" w:hanging="270"/>
              <w:rPr/>
            </w:pPr>
            <w:r w:rsidDel="00000000" w:rsidR="00000000" w:rsidRPr="00000000">
              <w:rPr>
                <w:color w:val="000000"/>
                <w:rtl w:val="0"/>
              </w:rPr>
              <w:t xml:space="preserve">Item 1: “Hospital materials” changed to “medical materials” to apply across sites and examples of people who may have helped read materials added.</w:t>
            </w:r>
            <w:r w:rsidDel="00000000" w:rsidR="00000000" w:rsidRPr="00000000">
              <w:rPr>
                <w:rtl w:val="0"/>
              </w:rPr>
            </w:r>
          </w:p>
          <w:p w:rsidR="00000000" w:rsidDel="00000000" w:rsidP="00000000" w:rsidRDefault="00000000" w:rsidRPr="00000000" w14:paraId="0000001D">
            <w:pPr>
              <w:pageBreakBefore w:val="0"/>
              <w:numPr>
                <w:ilvl w:val="0"/>
                <w:numId w:val="2"/>
              </w:numPr>
              <w:pBdr>
                <w:top w:space="0" w:sz="0" w:val="nil"/>
                <w:left w:space="0" w:sz="0" w:val="nil"/>
                <w:bottom w:space="0" w:sz="0" w:val="nil"/>
                <w:right w:space="0" w:sz="0" w:val="nil"/>
                <w:between w:space="0" w:sz="0" w:val="nil"/>
              </w:pBdr>
              <w:spacing w:after="160" w:line="259" w:lineRule="auto"/>
              <w:ind w:left="294" w:hanging="270"/>
              <w:rPr/>
            </w:pPr>
            <w:r w:rsidDel="00000000" w:rsidR="00000000" w:rsidRPr="00000000">
              <w:rPr>
                <w:color w:val="000000"/>
                <w:rtl w:val="0"/>
              </w:rPr>
              <w:t xml:space="preserve">Item 2: “medical condition” changed to “medical conditions”  </w:t>
            </w:r>
            <w:r w:rsidDel="00000000" w:rsidR="00000000" w:rsidRPr="00000000">
              <w:rPr>
                <w:rtl w:val="0"/>
              </w:rPr>
            </w:r>
          </w:p>
        </w:tc>
      </w:tr>
      <w:tr>
        <w:trPr>
          <w:cantSplit w:val="0"/>
          <w:trHeight w:val="260" w:hRule="atLeast"/>
          <w:tblHeader w:val="0"/>
        </w:trPr>
        <w:tc>
          <w:tcPr>
            <w:vMerge w:val="restart"/>
          </w:tcPr>
          <w:p w:rsidR="00000000" w:rsidDel="00000000" w:rsidP="00000000" w:rsidRDefault="00000000" w:rsidRPr="00000000" w14:paraId="0000001E">
            <w:pPr>
              <w:pageBreakBefore w:val="0"/>
              <w:rPr>
                <w:b w:val="1"/>
              </w:rPr>
            </w:pPr>
            <w:r w:rsidDel="00000000" w:rsidR="00000000" w:rsidRPr="00000000">
              <w:rPr>
                <w:b w:val="1"/>
                <w:rtl w:val="0"/>
              </w:rPr>
              <w:t xml:space="preserve">Number of items </w:t>
            </w:r>
          </w:p>
        </w:tc>
        <w:tc>
          <w:tcPr/>
          <w:p w:rsidR="00000000" w:rsidDel="00000000" w:rsidP="00000000" w:rsidRDefault="00000000" w:rsidRPr="00000000" w14:paraId="0000001F">
            <w:pPr>
              <w:pageBreakBefore w:val="0"/>
              <w:rPr/>
            </w:pPr>
            <w:r w:rsidDel="00000000" w:rsidR="00000000" w:rsidRPr="00000000">
              <w:rPr>
                <w:rtl w:val="0"/>
              </w:rPr>
              <w:t xml:space="preserve">Original scale: 4</w:t>
            </w:r>
          </w:p>
        </w:tc>
      </w:tr>
      <w:tr>
        <w:trPr>
          <w:cantSplit w:val="0"/>
          <w:trHeight w:val="260" w:hRule="atLeast"/>
          <w:tblHeader w:val="0"/>
        </w:trPr>
        <w:tc>
          <w:tcPr>
            <w:vMerge w:val="continue"/>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rtl w:val="0"/>
              </w:rPr>
            </w:r>
          </w:p>
        </w:tc>
        <w:tc>
          <w:tcPr/>
          <w:p w:rsidR="00000000" w:rsidDel="00000000" w:rsidP="00000000" w:rsidRDefault="00000000" w:rsidRPr="00000000" w14:paraId="00000021">
            <w:pPr>
              <w:pageBreakBefore w:val="0"/>
              <w:rPr/>
            </w:pPr>
            <w:r w:rsidDel="00000000" w:rsidR="00000000" w:rsidRPr="00000000">
              <w:rPr>
                <w:rtl w:val="0"/>
              </w:rPr>
              <w:t xml:space="preserve">CSER adapted: Same as original</w:t>
            </w:r>
          </w:p>
        </w:tc>
      </w:tr>
      <w:tr>
        <w:trPr>
          <w:cantSplit w:val="0"/>
          <w:trHeight w:val="120" w:hRule="atLeast"/>
          <w:tblHeader w:val="0"/>
        </w:trPr>
        <w:tc>
          <w:tcPr>
            <w:vMerge w:val="restart"/>
          </w:tcPr>
          <w:p w:rsidR="00000000" w:rsidDel="00000000" w:rsidP="00000000" w:rsidRDefault="00000000" w:rsidRPr="00000000" w14:paraId="00000022">
            <w:pPr>
              <w:pageBreakBefore w:val="0"/>
              <w:rPr>
                <w:b w:val="1"/>
              </w:rPr>
            </w:pPr>
            <w:r w:rsidDel="00000000" w:rsidR="00000000" w:rsidRPr="00000000">
              <w:rPr>
                <w:b w:val="1"/>
                <w:rtl w:val="0"/>
              </w:rPr>
              <w:t xml:space="preserve">Subscales and items per subscale  </w:t>
            </w:r>
          </w:p>
        </w:tc>
        <w:tc>
          <w:tcPr/>
          <w:p w:rsidR="00000000" w:rsidDel="00000000" w:rsidP="00000000" w:rsidRDefault="00000000" w:rsidRPr="00000000" w14:paraId="00000023">
            <w:pPr>
              <w:pageBreakBefore w:val="0"/>
              <w:tabs>
                <w:tab w:val="left" w:leader="none" w:pos="1140"/>
              </w:tabs>
              <w:rPr/>
            </w:pPr>
            <w:r w:rsidDel="00000000" w:rsidR="00000000" w:rsidRPr="00000000">
              <w:rPr>
                <w:rtl w:val="0"/>
              </w:rPr>
              <w:t xml:space="preserve">Original scale: No subscales (Measure is a single, 4-item scale)</w:t>
            </w:r>
          </w:p>
        </w:tc>
      </w:tr>
      <w:tr>
        <w:trPr>
          <w:cantSplit w:val="0"/>
          <w:trHeight w:val="120" w:hRule="atLeast"/>
          <w:tblHeader w:val="0"/>
        </w:trPr>
        <w:tc>
          <w:tcPr>
            <w:vMerge w:val="continue"/>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5">
            <w:pPr>
              <w:pageBreakBefore w:val="0"/>
              <w:tabs>
                <w:tab w:val="left" w:leader="none" w:pos="1140"/>
              </w:tabs>
              <w:rPr/>
            </w:pPr>
            <w:r w:rsidDel="00000000" w:rsidR="00000000" w:rsidRPr="00000000">
              <w:rPr>
                <w:rtl w:val="0"/>
              </w:rPr>
              <w:t xml:space="preserve">CSER adapted: Same as original</w:t>
            </w:r>
          </w:p>
        </w:tc>
      </w:tr>
      <w:tr>
        <w:trPr>
          <w:cantSplit w:val="0"/>
          <w:trHeight w:val="120" w:hRule="atLeast"/>
          <w:tblHeader w:val="0"/>
        </w:trPr>
        <w:tc>
          <w:tcPr>
            <w:vMerge w:val="restart"/>
          </w:tcPr>
          <w:p w:rsidR="00000000" w:rsidDel="00000000" w:rsidP="00000000" w:rsidRDefault="00000000" w:rsidRPr="00000000" w14:paraId="00000026">
            <w:pPr>
              <w:pageBreakBefore w:val="0"/>
              <w:rPr>
                <w:b w:val="1"/>
              </w:rPr>
            </w:pPr>
            <w:r w:rsidDel="00000000" w:rsidR="00000000" w:rsidRPr="00000000">
              <w:rPr>
                <w:b w:val="1"/>
                <w:rtl w:val="0"/>
              </w:rPr>
              <w:t xml:space="preserve">Response scale (including anchor labels)</w:t>
            </w:r>
          </w:p>
        </w:tc>
        <w:tc>
          <w:tcPr/>
          <w:p w:rsidR="00000000" w:rsidDel="00000000" w:rsidP="00000000" w:rsidRDefault="00000000" w:rsidRPr="00000000" w14:paraId="00000027">
            <w:pPr>
              <w:pageBreakBefore w:val="0"/>
              <w:rPr/>
            </w:pPr>
            <w:r w:rsidDel="00000000" w:rsidR="00000000" w:rsidRPr="00000000">
              <w:rPr>
                <w:rtl w:val="0"/>
              </w:rPr>
              <w:t xml:space="preserve">Original scale: 5-point Likert  scale</w:t>
            </w:r>
          </w:p>
          <w:p w:rsidR="00000000" w:rsidDel="00000000" w:rsidP="00000000" w:rsidRDefault="00000000" w:rsidRPr="00000000" w14:paraId="00000028">
            <w:pPr>
              <w:pageBreakBefore w:val="0"/>
              <w:rPr/>
            </w:pPr>
            <w:r w:rsidDel="00000000" w:rsidR="00000000" w:rsidRPr="00000000">
              <w:rPr>
                <w:rtl w:val="0"/>
              </w:rPr>
              <w:t xml:space="preserve">Items 1-3: 1=Always, 2=Often, 3=Sometimes, 4=Occasionally, 5=Never  </w:t>
            </w:r>
          </w:p>
          <w:p w:rsidR="00000000" w:rsidDel="00000000" w:rsidP="00000000" w:rsidRDefault="00000000" w:rsidRPr="00000000" w14:paraId="00000029">
            <w:pPr>
              <w:pageBreakBefore w:val="0"/>
              <w:rPr/>
            </w:pPr>
            <w:r w:rsidDel="00000000" w:rsidR="00000000" w:rsidRPr="00000000">
              <w:rPr>
                <w:rtl w:val="0"/>
              </w:rPr>
              <w:t xml:space="preserve">Item 4: 1=Not at all, 2=A little bit, 3=Somewhat, 4=Quite a bit,  5=Extremely</w:t>
            </w:r>
          </w:p>
        </w:tc>
      </w:tr>
      <w:tr>
        <w:trPr>
          <w:cantSplit w:val="0"/>
          <w:trHeight w:val="120" w:hRule="atLeast"/>
          <w:tblHeader w:val="0"/>
        </w:trPr>
        <w:tc>
          <w:tcPr>
            <w:vMerge w:val="continue"/>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B">
            <w:pPr>
              <w:pageBreakBefore w:val="0"/>
              <w:rPr/>
            </w:pPr>
            <w:r w:rsidDel="00000000" w:rsidR="00000000" w:rsidRPr="00000000">
              <w:rPr>
                <w:rtl w:val="0"/>
              </w:rPr>
              <w:t xml:space="preserve">CSER adapted: Same as original</w:t>
            </w:r>
          </w:p>
        </w:tc>
      </w:tr>
      <w:tr>
        <w:trPr>
          <w:cantSplit w:val="0"/>
          <w:trHeight w:val="120" w:hRule="atLeast"/>
          <w:tblHeader w:val="0"/>
        </w:trPr>
        <w:tc>
          <w:tcPr>
            <w:vMerge w:val="restart"/>
          </w:tcPr>
          <w:p w:rsidR="00000000" w:rsidDel="00000000" w:rsidP="00000000" w:rsidRDefault="00000000" w:rsidRPr="00000000" w14:paraId="0000002C">
            <w:pPr>
              <w:pageBreakBefore w:val="0"/>
              <w:rPr>
                <w:b w:val="1"/>
              </w:rPr>
            </w:pPr>
            <w:r w:rsidDel="00000000" w:rsidR="00000000" w:rsidRPr="00000000">
              <w:rPr>
                <w:b w:val="1"/>
                <w:rtl w:val="0"/>
              </w:rPr>
              <w:t xml:space="preserve">Scoring instructions </w:t>
            </w:r>
          </w:p>
        </w:tc>
        <w:tc>
          <w:tcPr/>
          <w:p w:rsidR="00000000" w:rsidDel="00000000" w:rsidP="00000000" w:rsidRDefault="00000000" w:rsidRPr="00000000" w14:paraId="0000002D">
            <w:pPr>
              <w:pageBreakBefore w:val="0"/>
              <w:rPr/>
            </w:pPr>
            <w:r w:rsidDel="00000000" w:rsidR="00000000" w:rsidRPr="00000000">
              <w:rPr>
                <w:rtl w:val="0"/>
              </w:rPr>
              <w:t xml:space="preserve">Original Scale: Sum responses to yield a possible score of 4-20; no known established method for handling missing data.</w:t>
            </w:r>
          </w:p>
        </w:tc>
      </w:tr>
      <w:tr>
        <w:trPr>
          <w:cantSplit w:val="0"/>
          <w:trHeight w:val="120" w:hRule="atLeast"/>
          <w:tblHeader w:val="0"/>
        </w:trPr>
        <w:tc>
          <w:tcPr>
            <w:vMerge w:val="continue"/>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F">
            <w:pPr>
              <w:pageBreakBefore w:val="0"/>
              <w:rPr/>
            </w:pPr>
            <w:bookmarkStart w:colFirst="0" w:colLast="0" w:name="_gjdgxs" w:id="0"/>
            <w:bookmarkEnd w:id="0"/>
            <w:r w:rsidDel="00000000" w:rsidR="00000000" w:rsidRPr="00000000">
              <w:rPr>
                <w:rtl w:val="0"/>
              </w:rPr>
              <w:t xml:space="preserve">CSER adapted: Same as original; recommended rule for missing data: Require at least 2 responses of 4, and use mean imputation for missing item(s).</w:t>
            </w:r>
          </w:p>
        </w:tc>
      </w:tr>
      <w:tr>
        <w:trPr>
          <w:cantSplit w:val="0"/>
          <w:trHeight w:val="540" w:hRule="atLeast"/>
          <w:tblHeader w:val="0"/>
        </w:trPr>
        <w:tc>
          <w:tcPr/>
          <w:p w:rsidR="00000000" w:rsidDel="00000000" w:rsidP="00000000" w:rsidRDefault="00000000" w:rsidRPr="00000000" w14:paraId="00000030">
            <w:pPr>
              <w:pageBreakBefore w:val="0"/>
              <w:rPr>
                <w:b w:val="1"/>
              </w:rPr>
            </w:pPr>
            <w:r w:rsidDel="00000000" w:rsidR="00000000" w:rsidRPr="00000000">
              <w:rPr>
                <w:b w:val="1"/>
                <w:rtl w:val="0"/>
              </w:rPr>
              <w:t xml:space="preserve">Validated cutoff scores, if any</w:t>
            </w:r>
          </w:p>
        </w:tc>
        <w:tc>
          <w:tcPr/>
          <w:p w:rsidR="00000000" w:rsidDel="00000000" w:rsidP="00000000" w:rsidRDefault="00000000" w:rsidRPr="00000000" w14:paraId="00000031">
            <w:pPr>
              <w:pageBreakBefore w:val="0"/>
              <w:rPr/>
            </w:pPr>
            <w:r w:rsidDel="00000000" w:rsidR="00000000" w:rsidRPr="00000000">
              <w:rPr>
                <w:rtl w:val="0"/>
              </w:rPr>
              <w:t xml:space="preserve">4-12 = Inadequate</w:t>
            </w:r>
          </w:p>
          <w:p w:rsidR="00000000" w:rsidDel="00000000" w:rsidP="00000000" w:rsidRDefault="00000000" w:rsidRPr="00000000" w14:paraId="00000032">
            <w:pPr>
              <w:pageBreakBefore w:val="0"/>
              <w:rPr/>
            </w:pPr>
            <w:r w:rsidDel="00000000" w:rsidR="00000000" w:rsidRPr="00000000">
              <w:rPr>
                <w:rtl w:val="0"/>
              </w:rPr>
              <w:t xml:space="preserve">13-16 = Marginal</w:t>
            </w:r>
          </w:p>
          <w:p w:rsidR="00000000" w:rsidDel="00000000" w:rsidP="00000000" w:rsidRDefault="00000000" w:rsidRPr="00000000" w14:paraId="00000033">
            <w:pPr>
              <w:pageBreakBefore w:val="0"/>
              <w:rPr/>
            </w:pPr>
            <w:r w:rsidDel="00000000" w:rsidR="00000000" w:rsidRPr="00000000">
              <w:rPr>
                <w:rtl w:val="0"/>
              </w:rPr>
              <w:t xml:space="preserve">17-20 = Adequate</w:t>
            </w:r>
          </w:p>
          <w:p w:rsidR="00000000" w:rsidDel="00000000" w:rsidP="00000000" w:rsidRDefault="00000000" w:rsidRPr="00000000" w14:paraId="00000034">
            <w:pPr>
              <w:pageBreakBefore w:val="0"/>
              <w:rPr/>
            </w:pPr>
            <w:r w:rsidDel="00000000" w:rsidR="00000000" w:rsidRPr="00000000">
              <w:rPr>
                <w:rtl w:val="0"/>
              </w:rPr>
              <w:t xml:space="preserve">Note: According to Haun et al., 2009, these cutoffs were “Based on the previous evaluations of the first three questions” (cited Chew et al, 2004 and Wallace et al., 2006) However, they also state that “ANOVA results indicated that the three proposed BRIEF levels were significantly different from one another on the REALM (F score = 28.63, P &lt; .0001) and the STOFHLA (F score = 35.32, P &lt; .0001). Posthoc Tukey analyses suggest all levels were significantly different at P &lt; .0001.”</w:t>
            </w:r>
          </w:p>
        </w:tc>
      </w:tr>
      <w:tr>
        <w:trPr>
          <w:cantSplit w:val="0"/>
          <w:tblHeader w:val="0"/>
        </w:trPr>
        <w:tc>
          <w:tcPr/>
          <w:p w:rsidR="00000000" w:rsidDel="00000000" w:rsidP="00000000" w:rsidRDefault="00000000" w:rsidRPr="00000000" w14:paraId="00000035">
            <w:pPr>
              <w:pageBreakBefore w:val="0"/>
              <w:rPr>
                <w:b w:val="1"/>
              </w:rPr>
            </w:pPr>
            <w:r w:rsidDel="00000000" w:rsidR="00000000" w:rsidRPr="00000000">
              <w:rPr>
                <w:b w:val="1"/>
                <w:rtl w:val="0"/>
              </w:rPr>
              <w:t xml:space="preserve">Norms (if available)</w:t>
            </w:r>
          </w:p>
        </w:tc>
        <w:tc>
          <w:tcPr/>
          <w:p w:rsidR="00000000" w:rsidDel="00000000" w:rsidP="00000000" w:rsidRDefault="00000000" w:rsidRPr="00000000" w14:paraId="00000036">
            <w:pPr>
              <w:pageBreakBefore w:val="0"/>
              <w:rPr/>
            </w:pPr>
            <w:r w:rsidDel="00000000" w:rsidR="00000000" w:rsidRPr="00000000">
              <w:rPr>
                <w:rtl w:val="0"/>
              </w:rPr>
              <w:t xml:space="preserve">Not available</w:t>
            </w:r>
          </w:p>
        </w:tc>
      </w:tr>
      <w:tr>
        <w:trPr>
          <w:cantSplit w:val="0"/>
          <w:tblHeader w:val="0"/>
        </w:trPr>
        <w:tc>
          <w:tcPr/>
          <w:p w:rsidR="00000000" w:rsidDel="00000000" w:rsidP="00000000" w:rsidRDefault="00000000" w:rsidRPr="00000000" w14:paraId="00000037">
            <w:pPr>
              <w:pageBreakBefore w:val="0"/>
              <w:rPr>
                <w:b w:val="1"/>
              </w:rPr>
            </w:pPr>
            <w:r w:rsidDel="00000000" w:rsidR="00000000" w:rsidRPr="00000000">
              <w:rPr>
                <w:b w:val="1"/>
                <w:rtl w:val="0"/>
              </w:rPr>
              <w:t xml:space="preserve">Contact for permission to use/adapt (associated cost)</w:t>
            </w:r>
          </w:p>
        </w:tc>
        <w:tc>
          <w:tcPr/>
          <w:p w:rsidR="00000000" w:rsidDel="00000000" w:rsidP="00000000" w:rsidRDefault="00000000" w:rsidRPr="00000000" w14:paraId="00000038">
            <w:pPr>
              <w:pageBreakBefore w:val="0"/>
              <w:rPr/>
            </w:pPr>
            <w:r w:rsidDel="00000000" w:rsidR="00000000" w:rsidRPr="00000000">
              <w:rPr>
                <w:rtl w:val="0"/>
              </w:rPr>
              <w:t xml:space="preserve">No need to get permission. No cost to use. Corresponding author of source article is Jolie Haun, Jolie.Haun@va.gov.</w:t>
            </w:r>
          </w:p>
        </w:tc>
      </w:tr>
      <w:tr>
        <w:trPr>
          <w:cantSplit w:val="0"/>
          <w:tblHeader w:val="0"/>
        </w:trPr>
        <w:tc>
          <w:tcPr/>
          <w:p w:rsidR="00000000" w:rsidDel="00000000" w:rsidP="00000000" w:rsidRDefault="00000000" w:rsidRPr="00000000" w14:paraId="00000039">
            <w:pPr>
              <w:pageBreakBefore w:val="0"/>
              <w:rPr>
                <w:b w:val="1"/>
              </w:rPr>
            </w:pPr>
            <w:r w:rsidDel="00000000" w:rsidR="00000000" w:rsidRPr="00000000">
              <w:rPr>
                <w:b w:val="1"/>
                <w:rtl w:val="0"/>
              </w:rPr>
              <w:t xml:space="preserve">Administration modes</w:t>
            </w:r>
          </w:p>
        </w:tc>
        <w:tc>
          <w:tcPr/>
          <w:p w:rsidR="00000000" w:rsidDel="00000000" w:rsidP="00000000" w:rsidRDefault="00000000" w:rsidRPr="00000000" w14:paraId="0000003A">
            <w:pPr>
              <w:pageBreakBefore w:val="0"/>
              <w:rPr/>
            </w:pPr>
            <w:r w:rsidDel="00000000" w:rsidR="00000000" w:rsidRPr="00000000">
              <w:rPr>
                <w:rtl w:val="0"/>
              </w:rPr>
              <w:t xml:space="preserve">Paper and pencil, interview</w:t>
            </w:r>
          </w:p>
        </w:tc>
      </w:tr>
      <w:tr>
        <w:trPr>
          <w:cantSplit w:val="0"/>
          <w:tblHeader w:val="0"/>
        </w:trPr>
        <w:tc>
          <w:tcPr/>
          <w:p w:rsidR="00000000" w:rsidDel="00000000" w:rsidP="00000000" w:rsidRDefault="00000000" w:rsidRPr="00000000" w14:paraId="0000003B">
            <w:pPr>
              <w:pageBreakBefore w:val="0"/>
              <w:rPr>
                <w:b w:val="1"/>
              </w:rPr>
            </w:pPr>
            <w:r w:rsidDel="00000000" w:rsidR="00000000" w:rsidRPr="00000000">
              <w:rPr>
                <w:b w:val="1"/>
                <w:rtl w:val="0"/>
              </w:rPr>
              <w:t xml:space="preserve"> Original measure languages available </w:t>
            </w:r>
          </w:p>
        </w:tc>
        <w:tc>
          <w:tcPr/>
          <w:p w:rsidR="00000000" w:rsidDel="00000000" w:rsidP="00000000" w:rsidRDefault="00000000" w:rsidRPr="00000000" w14:paraId="0000003C">
            <w:pPr>
              <w:pageBreakBefore w:val="0"/>
              <w:rPr/>
            </w:pPr>
            <w:r w:rsidDel="00000000" w:rsidR="00000000" w:rsidRPr="00000000">
              <w:rPr>
                <w:rtl w:val="0"/>
              </w:rPr>
              <w:t xml:space="preserve">English</w:t>
            </w:r>
          </w:p>
        </w:tc>
      </w:tr>
      <w:tr>
        <w:trPr>
          <w:cantSplit w:val="0"/>
          <w:tblHeader w:val="0"/>
        </w:trPr>
        <w:tc>
          <w:tcPr/>
          <w:p w:rsidR="00000000" w:rsidDel="00000000" w:rsidP="00000000" w:rsidRDefault="00000000" w:rsidRPr="00000000" w14:paraId="0000003D">
            <w:pPr>
              <w:pageBreakBefore w:val="0"/>
              <w:rPr>
                <w:b w:val="1"/>
              </w:rPr>
            </w:pPr>
            <w:r w:rsidDel="00000000" w:rsidR="00000000" w:rsidRPr="00000000">
              <w:rPr>
                <w:b w:val="1"/>
                <w:rtl w:val="0"/>
              </w:rPr>
              <w:t xml:space="preserve">Evidence for reliability (provide type and values)</w:t>
            </w:r>
          </w:p>
        </w:tc>
        <w:tc>
          <w:tcPr/>
          <w:p w:rsidR="00000000" w:rsidDel="00000000" w:rsidP="00000000" w:rsidRDefault="00000000" w:rsidRPr="00000000" w14:paraId="0000003E">
            <w:pPr>
              <w:pageBreakBefore w:val="0"/>
              <w:rPr/>
            </w:pPr>
            <w:r w:rsidDel="00000000" w:rsidR="00000000" w:rsidRPr="00000000">
              <w:rPr>
                <w:rtl w:val="0"/>
              </w:rPr>
              <w:t xml:space="preserve">.77 Cronbach alpha (Haun et al., 2012)</w:t>
            </w:r>
          </w:p>
        </w:tc>
      </w:tr>
      <w:tr>
        <w:trPr>
          <w:cantSplit w:val="0"/>
          <w:tblHeader w:val="0"/>
        </w:trPr>
        <w:tc>
          <w:tcPr/>
          <w:p w:rsidR="00000000" w:rsidDel="00000000" w:rsidP="00000000" w:rsidRDefault="00000000" w:rsidRPr="00000000" w14:paraId="0000003F">
            <w:pPr>
              <w:pageBreakBefore w:val="0"/>
              <w:rPr>
                <w:b w:val="1"/>
              </w:rPr>
            </w:pPr>
            <w:r w:rsidDel="00000000" w:rsidR="00000000" w:rsidRPr="00000000">
              <w:rPr>
                <w:b w:val="1"/>
                <w:rtl w:val="0"/>
              </w:rPr>
              <w:t xml:space="preserve">Evidence for validity (provide type and values if available)</w:t>
            </w:r>
          </w:p>
        </w:tc>
        <w:tc>
          <w:tcPr/>
          <w:p w:rsidR="00000000" w:rsidDel="00000000" w:rsidP="00000000" w:rsidRDefault="00000000" w:rsidRPr="00000000" w14:paraId="00000040">
            <w:pPr>
              <w:pageBreakBefore w:val="0"/>
              <w:rPr/>
            </w:pPr>
            <w:r w:rsidDel="00000000" w:rsidR="00000000" w:rsidRPr="00000000">
              <w:rPr>
                <w:rtl w:val="0"/>
              </w:rPr>
              <w:t xml:space="preserve">CSER data being collected. Haun et al., 2009, validated scale in sample of 378 veterans (mostly male adults) in the southeast US, aged 23-89 with range of education levels (45% high school or less) and, to a lesser extent, race/ethnic backgrounds (74% White, 18% Black, 3% Latino, 3% Native American, 1% Other). </w:t>
            </w:r>
          </w:p>
          <w:p w:rsidR="00000000" w:rsidDel="00000000" w:rsidP="00000000" w:rsidRDefault="00000000" w:rsidRPr="00000000" w14:paraId="00000041">
            <w:pPr>
              <w:pageBreakBefore w:val="0"/>
              <w:numPr>
                <w:ilvl w:val="0"/>
                <w:numId w:val="3"/>
              </w:numPr>
              <w:pBdr>
                <w:top w:space="0" w:sz="0" w:val="nil"/>
                <w:left w:space="0" w:sz="0" w:val="nil"/>
                <w:bottom w:space="0" w:sz="0" w:val="nil"/>
                <w:right w:space="0" w:sz="0" w:val="nil"/>
                <w:between w:space="0" w:sz="0" w:val="nil"/>
              </w:pBdr>
              <w:spacing w:line="259" w:lineRule="auto"/>
              <w:ind w:left="720" w:hanging="360"/>
              <w:rPr/>
            </w:pPr>
            <w:r w:rsidDel="00000000" w:rsidR="00000000" w:rsidRPr="00000000">
              <w:rPr>
                <w:b w:val="1"/>
                <w:color w:val="000000"/>
                <w:rtl w:val="0"/>
              </w:rPr>
              <w:t xml:space="preserve">Lack of convergent validity?</w:t>
            </w:r>
            <w:r w:rsidDel="00000000" w:rsidR="00000000" w:rsidRPr="00000000">
              <w:rPr>
                <w:color w:val="000000"/>
                <w:rtl w:val="0"/>
              </w:rPr>
              <w:t xml:space="preserve"> - BRIEF less likely categorize people as having adequate health literacy and more likely to categorize people as being of inadequate or marginal health literacy than STOFHLA and REALM. As noted by authors “At present, it cannot be determined if the discrepancies resulted from error in the BRIEF or from error in the REALM and the STOFHLA, although these discrepancies probably are related to the tools’ measurement of slightly different aspects of health literacy.” </w:t>
            </w:r>
            <w:r w:rsidDel="00000000" w:rsidR="00000000" w:rsidRPr="00000000">
              <w:rPr>
                <w:rtl w:val="0"/>
              </w:rPr>
            </w:r>
          </w:p>
          <w:p w:rsidR="00000000" w:rsidDel="00000000" w:rsidP="00000000" w:rsidRDefault="00000000" w:rsidRPr="00000000" w14:paraId="00000042">
            <w:pPr>
              <w:pageBreakBefore w:val="0"/>
              <w:numPr>
                <w:ilvl w:val="0"/>
                <w:numId w:val="3"/>
              </w:numPr>
              <w:pBdr>
                <w:top w:space="0" w:sz="0" w:val="nil"/>
                <w:left w:space="0" w:sz="0" w:val="nil"/>
                <w:bottom w:space="0" w:sz="0" w:val="nil"/>
                <w:right w:space="0" w:sz="0" w:val="nil"/>
                <w:between w:space="0" w:sz="0" w:val="nil"/>
              </w:pBdr>
              <w:spacing w:after="160" w:line="259" w:lineRule="auto"/>
              <w:ind w:left="720" w:hanging="360"/>
              <w:rPr/>
            </w:pPr>
            <w:r w:rsidDel="00000000" w:rsidR="00000000" w:rsidRPr="00000000">
              <w:rPr>
                <w:b w:val="1"/>
                <w:color w:val="000000"/>
                <w:rtl w:val="0"/>
              </w:rPr>
              <w:t xml:space="preserve">Convergent Validity</w:t>
            </w:r>
            <w:r w:rsidDel="00000000" w:rsidR="00000000" w:rsidRPr="00000000">
              <w:rPr>
                <w:color w:val="000000"/>
                <w:rtl w:val="0"/>
              </w:rPr>
              <w:t xml:space="preserve"> - Pearson correlations and comparison of AUROC values, and sensitivity/specificity comparisons, shown in tables, below.</w:t>
            </w: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drawing>
                <wp:inline distB="0" distT="0" distL="0" distR="0">
                  <wp:extent cx="3982762" cy="386562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82762" cy="3865622"/>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drawing>
                <wp:inline distB="0" distT="0" distL="0" distR="0">
                  <wp:extent cx="3962825" cy="3244871"/>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62825" cy="3244871"/>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numPr>
                <w:ilvl w:val="0"/>
                <w:numId w:val="4"/>
              </w:numPr>
              <w:spacing w:after="160" w:line="259" w:lineRule="auto"/>
              <w:ind w:left="720" w:hanging="360"/>
              <w:rPr>
                <w:color w:val="000000"/>
              </w:rPr>
            </w:pPr>
            <w:r w:rsidDel="00000000" w:rsidR="00000000" w:rsidRPr="00000000">
              <w:rPr>
                <w:b w:val="1"/>
                <w:rtl w:val="0"/>
              </w:rPr>
              <w:t xml:space="preserve">Nomological validity</w:t>
            </w:r>
            <w:r w:rsidDel="00000000" w:rsidR="00000000" w:rsidRPr="00000000">
              <w:rPr>
                <w:rtl w:val="0"/>
              </w:rPr>
              <w:t xml:space="preserve"> - Also note: Haun et al., 2015, BMC Health Services Research, 15:249, https://doi.org/10.1186/s12913-015-0887-z, reported implications of health literacy on health care utilization and costs: “In a study of 92,749 veterans with service utilization from 2007–2009, average per patient cost for those with inadequate and marginal health literacy was significantly higher ($31,581 [95 % CI: $30,186 - $32,975]; $23,508 [95 % CI: $22,749 - $24,268]) than adequate health literacy ($17,033 [95 % CI: $16,810 - $17,255]). Estimated three-year cost associated with veterans’ with marginal and inadequate health literacy was $143 million dollars more than those with adequate health literacy.”</w:t>
            </w:r>
            <w:r w:rsidDel="00000000" w:rsidR="00000000" w:rsidRPr="00000000">
              <w:rPr>
                <w:rtl w:val="0"/>
              </w:rPr>
            </w:r>
          </w:p>
        </w:tc>
      </w:tr>
      <w:tr>
        <w:trPr>
          <w:cantSplit w:val="0"/>
          <w:trHeight w:val="1080" w:hRule="atLeast"/>
          <w:tblHeader w:val="0"/>
        </w:trPr>
        <w:tc>
          <w:tcPr/>
          <w:p w:rsidR="00000000" w:rsidDel="00000000" w:rsidP="00000000" w:rsidRDefault="00000000" w:rsidRPr="00000000" w14:paraId="00000048">
            <w:pPr>
              <w:pageBreakBefore w:val="0"/>
              <w:rPr>
                <w:b w:val="1"/>
              </w:rPr>
            </w:pPr>
            <w:bookmarkStart w:colFirst="0" w:colLast="0" w:name="_30j0zll" w:id="1"/>
            <w:bookmarkEnd w:id="1"/>
            <w:r w:rsidDel="00000000" w:rsidR="00000000" w:rsidRPr="00000000">
              <w:rPr>
                <w:b w:val="1"/>
                <w:rtl w:val="0"/>
              </w:rPr>
              <w:t xml:space="preserve">Evidence for sensitivity to change</w:t>
            </w:r>
          </w:p>
        </w:tc>
        <w:tc>
          <w:tcPr/>
          <w:p w:rsidR="00000000" w:rsidDel="00000000" w:rsidP="00000000" w:rsidRDefault="00000000" w:rsidRPr="00000000" w14:paraId="00000049">
            <w:pPr>
              <w:pageBreakBefore w:val="0"/>
              <w:rPr/>
            </w:pPr>
            <w:r w:rsidDel="00000000" w:rsidR="00000000" w:rsidRPr="00000000">
              <w:rPr>
                <w:rtl w:val="0"/>
              </w:rPr>
              <w:t xml:space="preserve">CSER data being collected. No evidence for sensitivity to change found, although this lack of evidence is relatively irrelevant given that this is likely to be a stable construct that would not be expected to change without substantial, focused intervention. </w:t>
            </w:r>
          </w:p>
        </w:tc>
      </w:tr>
      <w:tr>
        <w:trPr>
          <w:cantSplit w:val="0"/>
          <w:trHeight w:val="400" w:hRule="atLeast"/>
          <w:tblHeader w:val="0"/>
        </w:trPr>
        <w:tc>
          <w:tcPr/>
          <w:p w:rsidR="00000000" w:rsidDel="00000000" w:rsidP="00000000" w:rsidRDefault="00000000" w:rsidRPr="00000000" w14:paraId="0000004A">
            <w:pPr>
              <w:pageBreakBefore w:val="0"/>
              <w:rPr>
                <w:b w:val="1"/>
              </w:rPr>
            </w:pPr>
            <w:r w:rsidDel="00000000" w:rsidR="00000000" w:rsidRPr="00000000">
              <w:rPr>
                <w:b w:val="1"/>
                <w:rtl w:val="0"/>
              </w:rPr>
              <w:t xml:space="preserve">Relevant references in genetics or genomics</w:t>
            </w:r>
          </w:p>
        </w:tc>
        <w:tc>
          <w:tcPr/>
          <w:p w:rsidR="00000000" w:rsidDel="00000000" w:rsidP="00000000" w:rsidRDefault="00000000" w:rsidRPr="00000000" w14:paraId="0000004B">
            <w:pPr>
              <w:pageBreakBefore w:val="0"/>
              <w:rPr/>
            </w:pPr>
            <w:r w:rsidDel="00000000" w:rsidR="00000000" w:rsidRPr="00000000">
              <w:rPr>
                <w:rtl w:val="0"/>
              </w:rPr>
              <w:t xml:space="preserve">Hagger MS, Hardcastle SJ, Hu M, Kwok S, Lin J, Nawawi HM, Pang J, Santos RD, Soran H, Su TC, Tomlinson B, Watts GF. Health literacy in familial hypercholesterolemia: A cross-national study. Eur J Prev Cardiol. 2018 Jun;25(9):936-943. doi: 10.1177/2047487318766954. PMID: 29592531 (Note: used 3-item Chew et al measure)</w:t>
            </w:r>
          </w:p>
        </w:tc>
      </w:tr>
    </w:tbl>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pBdr>
          <w:bottom w:color="000000" w:space="1" w:sz="4" w:val="single"/>
        </w:pBdr>
        <w:rPr>
          <w:b w:val="1"/>
        </w:rPr>
      </w:pPr>
      <w:r w:rsidDel="00000000" w:rsidR="00000000" w:rsidRPr="00000000">
        <w:rPr>
          <w:b w:val="1"/>
          <w:rtl w:val="0"/>
        </w:rPr>
        <w:t xml:space="preserve">Paste original scale below</w:t>
      </w:r>
    </w:p>
    <w:p w:rsidR="00000000" w:rsidDel="00000000" w:rsidP="00000000" w:rsidRDefault="00000000" w:rsidRPr="00000000" w14:paraId="0000004E">
      <w:pPr>
        <w:pageBreakBefore w:val="0"/>
        <w:rPr>
          <w:b w:val="1"/>
        </w:rPr>
      </w:pPr>
      <w:r w:rsidDel="00000000" w:rsidR="00000000" w:rsidRPr="00000000">
        <w:rPr/>
        <w:drawing>
          <wp:inline distB="0" distT="0" distL="0" distR="0">
            <wp:extent cx="4505325" cy="3924300"/>
            <wp:effectExtent b="0" l="0" r="0" t="0"/>
            <wp:docPr id="2" name="image3.png"/>
            <a:graphic>
              <a:graphicData uri="http://schemas.openxmlformats.org/drawingml/2006/picture">
                <pic:pic>
                  <pic:nvPicPr>
                    <pic:cNvPr id="0" name="image3.png"/>
                    <pic:cNvPicPr preferRelativeResize="0"/>
                  </pic:nvPicPr>
                  <pic:blipFill>
                    <a:blip r:embed="rId8"/>
                    <a:srcRect b="0" l="1268" r="-1268" t="0"/>
                    <a:stretch>
                      <a:fillRect/>
                    </a:stretch>
                  </pic:blipFill>
                  <pic:spPr>
                    <a:xfrm>
                      <a:off x="0" y="0"/>
                      <a:ext cx="4505325"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ageBreakBefore w:val="0"/>
        <w:pBdr>
          <w:bottom w:color="000000" w:space="1" w:sz="4" w:val="single"/>
        </w:pBdr>
        <w:rPr>
          <w:b w:val="1"/>
        </w:rPr>
      </w:pPr>
      <w:r w:rsidDel="00000000" w:rsidR="00000000" w:rsidRPr="00000000">
        <w:rPr>
          <w:b w:val="1"/>
          <w:rtl w:val="0"/>
        </w:rPr>
        <w:t xml:space="preserve">Paste CSER adaptation below</w:t>
      </w:r>
    </w:p>
    <w:p w:rsidR="00000000" w:rsidDel="00000000" w:rsidP="00000000" w:rsidRDefault="00000000" w:rsidRPr="00000000" w14:paraId="00000050">
      <w:pPr>
        <w:pageBreakBefore w:val="0"/>
        <w:numPr>
          <w:ilvl w:val="0"/>
          <w:numId w:val="5"/>
        </w:numPr>
        <w:pBdr>
          <w:top w:space="0" w:sz="0" w:val="nil"/>
          <w:left w:space="0" w:sz="0" w:val="nil"/>
          <w:bottom w:space="0" w:sz="0" w:val="nil"/>
          <w:right w:space="0" w:sz="0" w:val="nil"/>
          <w:between w:space="0" w:sz="0" w:val="nil"/>
        </w:pBdr>
        <w:tabs>
          <w:tab w:val="left" w:leader="none" w:pos="360"/>
        </w:tabs>
        <w:spacing w:after="0" w:line="240" w:lineRule="auto"/>
        <w:ind w:left="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How often do you have someone (like a family member, friend hospital/clinic worker or caregiver) help you read medical materials?  </w:t>
      </w:r>
    </w:p>
    <w:tbl>
      <w:tblPr>
        <w:tblStyle w:val="Table2"/>
        <w:tblW w:w="686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23"/>
        <w:gridCol w:w="1223"/>
        <w:gridCol w:w="1497"/>
        <w:gridCol w:w="1697"/>
        <w:gridCol w:w="1223"/>
        <w:tblGridChange w:id="0">
          <w:tblGrid>
            <w:gridCol w:w="1223"/>
            <w:gridCol w:w="1223"/>
            <w:gridCol w:w="1497"/>
            <w:gridCol w:w="1697"/>
            <w:gridCol w:w="1223"/>
          </w:tblGrid>
        </w:tblGridChange>
      </w:tblGrid>
      <w:tr>
        <w:trPr>
          <w:cantSplit w:val="0"/>
          <w:trHeight w:val="900" w:hRule="atLeast"/>
          <w:tblHeader w:val="0"/>
        </w:trPr>
        <w:tc>
          <w:tcPr/>
          <w:p w:rsidR="00000000" w:rsidDel="00000000" w:rsidP="00000000" w:rsidRDefault="00000000" w:rsidRPr="00000000" w14:paraId="00000051">
            <w:pPr>
              <w:pageBreakBefore w:val="0"/>
              <w:spacing w:after="0" w:line="240" w:lineRule="auto"/>
              <w:ind w:left="14" w:hanging="14"/>
              <w:jc w:val="center"/>
              <w:rPr>
                <w:rFonts w:ascii="Arial" w:cs="Arial" w:eastAsia="Arial" w:hAnsi="Arial"/>
                <w:color w:val="000000"/>
                <w:sz w:val="24"/>
                <w:szCs w:val="24"/>
              </w:rPr>
            </w:pPr>
            <w:bookmarkStart w:colFirst="0" w:colLast="0" w:name="_1fob9te" w:id="2"/>
            <w:bookmarkEnd w:id="2"/>
            <w:r w:rsidDel="00000000" w:rsidR="00000000" w:rsidRPr="00000000">
              <w:rPr>
                <w:rFonts w:ascii="Arial" w:cs="Arial" w:eastAsia="Arial" w:hAnsi="Arial"/>
                <w:b w:val="1"/>
                <w:color w:val="000000"/>
                <w:sz w:val="24"/>
                <w:szCs w:val="24"/>
                <w:rtl w:val="0"/>
              </w:rPr>
              <w:t xml:space="preserve">Always</w:t>
            </w:r>
            <w:r w:rsidDel="00000000" w:rsidR="00000000" w:rsidRPr="00000000">
              <w:rPr>
                <w:rtl w:val="0"/>
              </w:rPr>
            </w:r>
          </w:p>
          <w:p w:rsidR="00000000" w:rsidDel="00000000" w:rsidP="00000000" w:rsidRDefault="00000000" w:rsidRPr="00000000" w14:paraId="00000052">
            <w:pPr>
              <w:pageBreakBefore w:val="0"/>
              <w:spacing w:after="0" w:line="240" w:lineRule="auto"/>
              <w:ind w:left="14" w:hanging="14"/>
              <w:jc w:val="center"/>
              <w:rPr>
                <w:rFonts w:ascii="Arial" w:cs="Arial" w:eastAsia="Arial" w:hAnsi="Arial"/>
                <w:color w:val="000000"/>
                <w:sz w:val="24"/>
                <w:szCs w:val="24"/>
              </w:rPr>
            </w:pPr>
            <w:r w:rsidDel="00000000" w:rsidR="00000000" w:rsidRPr="00000000">
              <w:rPr>
                <w:rFonts w:ascii="Noto Sans Symbols" w:cs="Noto Sans Symbols" w:eastAsia="Noto Sans Symbols" w:hAnsi="Noto Sans Symbols"/>
                <w:b w:val="1"/>
                <w:color w:val="000000"/>
                <w:sz w:val="32"/>
                <w:szCs w:val="32"/>
                <w:rtl w:val="0"/>
              </w:rPr>
              <w:t xml:space="preserve">◻</w:t>
            </w:r>
            <w:r w:rsidDel="00000000" w:rsidR="00000000" w:rsidRPr="00000000">
              <w:rPr>
                <w:rtl w:val="0"/>
              </w:rPr>
            </w:r>
          </w:p>
        </w:tc>
        <w:tc>
          <w:tcPr/>
          <w:p w:rsidR="00000000" w:rsidDel="00000000" w:rsidP="00000000" w:rsidRDefault="00000000" w:rsidRPr="00000000" w14:paraId="00000053">
            <w:pPr>
              <w:pageBreakBefore w:val="0"/>
              <w:spacing w:after="0" w:line="240" w:lineRule="auto"/>
              <w:ind w:left="14" w:hanging="14"/>
              <w:jc w:val="cente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Often</w:t>
            </w:r>
            <w:r w:rsidDel="00000000" w:rsidR="00000000" w:rsidRPr="00000000">
              <w:rPr>
                <w:rtl w:val="0"/>
              </w:rPr>
            </w:r>
          </w:p>
          <w:p w:rsidR="00000000" w:rsidDel="00000000" w:rsidP="00000000" w:rsidRDefault="00000000" w:rsidRPr="00000000" w14:paraId="00000054">
            <w:pPr>
              <w:pageBreakBefore w:val="0"/>
              <w:spacing w:after="0" w:line="240" w:lineRule="auto"/>
              <w:ind w:left="14" w:hanging="14"/>
              <w:jc w:val="center"/>
              <w:rPr>
                <w:rFonts w:ascii="Arial" w:cs="Arial" w:eastAsia="Arial" w:hAnsi="Arial"/>
                <w:color w:val="000000"/>
                <w:sz w:val="24"/>
                <w:szCs w:val="24"/>
              </w:rPr>
            </w:pPr>
            <w:r w:rsidDel="00000000" w:rsidR="00000000" w:rsidRPr="00000000">
              <w:rPr>
                <w:rFonts w:ascii="Noto Sans Symbols" w:cs="Noto Sans Symbols" w:eastAsia="Noto Sans Symbols" w:hAnsi="Noto Sans Symbols"/>
                <w:b w:val="1"/>
                <w:color w:val="000000"/>
                <w:sz w:val="32"/>
                <w:szCs w:val="32"/>
                <w:rtl w:val="0"/>
              </w:rPr>
              <w:t xml:space="preserve">◻</w:t>
            </w:r>
            <w:r w:rsidDel="00000000" w:rsidR="00000000" w:rsidRPr="00000000">
              <w:rPr>
                <w:rtl w:val="0"/>
              </w:rPr>
            </w:r>
          </w:p>
        </w:tc>
        <w:tc>
          <w:tcPr/>
          <w:p w:rsidR="00000000" w:rsidDel="00000000" w:rsidP="00000000" w:rsidRDefault="00000000" w:rsidRPr="00000000" w14:paraId="00000055">
            <w:pPr>
              <w:pageBreakBefore w:val="0"/>
              <w:spacing w:after="0" w:line="240" w:lineRule="auto"/>
              <w:ind w:left="14" w:hanging="14"/>
              <w:jc w:val="cente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Sometimes</w:t>
            </w:r>
            <w:r w:rsidDel="00000000" w:rsidR="00000000" w:rsidRPr="00000000">
              <w:rPr>
                <w:rtl w:val="0"/>
              </w:rPr>
            </w:r>
          </w:p>
          <w:p w:rsidR="00000000" w:rsidDel="00000000" w:rsidP="00000000" w:rsidRDefault="00000000" w:rsidRPr="00000000" w14:paraId="00000056">
            <w:pPr>
              <w:pageBreakBefore w:val="0"/>
              <w:spacing w:after="0" w:line="240" w:lineRule="auto"/>
              <w:ind w:left="14" w:hanging="14"/>
              <w:jc w:val="center"/>
              <w:rPr>
                <w:rFonts w:ascii="Arial" w:cs="Arial" w:eastAsia="Arial" w:hAnsi="Arial"/>
                <w:color w:val="000000"/>
                <w:sz w:val="24"/>
                <w:szCs w:val="24"/>
              </w:rPr>
            </w:pPr>
            <w:r w:rsidDel="00000000" w:rsidR="00000000" w:rsidRPr="00000000">
              <w:rPr>
                <w:rFonts w:ascii="Noto Sans Symbols" w:cs="Noto Sans Symbols" w:eastAsia="Noto Sans Symbols" w:hAnsi="Noto Sans Symbols"/>
                <w:b w:val="1"/>
                <w:color w:val="000000"/>
                <w:sz w:val="32"/>
                <w:szCs w:val="32"/>
                <w:rtl w:val="0"/>
              </w:rPr>
              <w:t xml:space="preserve">◻</w:t>
            </w:r>
            <w:r w:rsidDel="00000000" w:rsidR="00000000" w:rsidRPr="00000000">
              <w:rPr>
                <w:rtl w:val="0"/>
              </w:rPr>
            </w:r>
          </w:p>
        </w:tc>
        <w:tc>
          <w:tcPr/>
          <w:p w:rsidR="00000000" w:rsidDel="00000000" w:rsidP="00000000" w:rsidRDefault="00000000" w:rsidRPr="00000000" w14:paraId="00000057">
            <w:pPr>
              <w:pageBreakBefore w:val="0"/>
              <w:spacing w:after="0" w:line="240" w:lineRule="auto"/>
              <w:ind w:left="14" w:hanging="14"/>
              <w:jc w:val="cente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Occasionally</w:t>
            </w:r>
            <w:r w:rsidDel="00000000" w:rsidR="00000000" w:rsidRPr="00000000">
              <w:rPr>
                <w:rtl w:val="0"/>
              </w:rPr>
            </w:r>
          </w:p>
          <w:p w:rsidR="00000000" w:rsidDel="00000000" w:rsidP="00000000" w:rsidRDefault="00000000" w:rsidRPr="00000000" w14:paraId="00000058">
            <w:pPr>
              <w:pageBreakBefore w:val="0"/>
              <w:spacing w:after="0" w:line="240" w:lineRule="auto"/>
              <w:ind w:left="14" w:hanging="14"/>
              <w:jc w:val="center"/>
              <w:rPr>
                <w:rFonts w:ascii="Arial" w:cs="Arial" w:eastAsia="Arial" w:hAnsi="Arial"/>
                <w:color w:val="000000"/>
                <w:sz w:val="24"/>
                <w:szCs w:val="24"/>
              </w:rPr>
            </w:pPr>
            <w:r w:rsidDel="00000000" w:rsidR="00000000" w:rsidRPr="00000000">
              <w:rPr>
                <w:rFonts w:ascii="Noto Sans Symbols" w:cs="Noto Sans Symbols" w:eastAsia="Noto Sans Symbols" w:hAnsi="Noto Sans Symbols"/>
                <w:b w:val="1"/>
                <w:color w:val="000000"/>
                <w:sz w:val="32"/>
                <w:szCs w:val="32"/>
                <w:rtl w:val="0"/>
              </w:rPr>
              <w:t xml:space="preserve">◻</w:t>
            </w:r>
            <w:r w:rsidDel="00000000" w:rsidR="00000000" w:rsidRPr="00000000">
              <w:rPr>
                <w:rtl w:val="0"/>
              </w:rPr>
            </w:r>
          </w:p>
        </w:tc>
        <w:tc>
          <w:tcPr/>
          <w:p w:rsidR="00000000" w:rsidDel="00000000" w:rsidP="00000000" w:rsidRDefault="00000000" w:rsidRPr="00000000" w14:paraId="00000059">
            <w:pPr>
              <w:pageBreakBefore w:val="0"/>
              <w:spacing w:after="0" w:line="240" w:lineRule="auto"/>
              <w:ind w:left="14" w:hanging="14"/>
              <w:jc w:val="cente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Never</w:t>
            </w:r>
            <w:r w:rsidDel="00000000" w:rsidR="00000000" w:rsidRPr="00000000">
              <w:rPr>
                <w:rtl w:val="0"/>
              </w:rPr>
            </w:r>
          </w:p>
          <w:p w:rsidR="00000000" w:rsidDel="00000000" w:rsidP="00000000" w:rsidRDefault="00000000" w:rsidRPr="00000000" w14:paraId="0000005A">
            <w:pPr>
              <w:pageBreakBefore w:val="0"/>
              <w:spacing w:after="0" w:line="240" w:lineRule="auto"/>
              <w:ind w:left="14" w:hanging="14"/>
              <w:jc w:val="center"/>
              <w:rPr>
                <w:rFonts w:ascii="Arial" w:cs="Arial" w:eastAsia="Arial" w:hAnsi="Arial"/>
                <w:color w:val="000000"/>
                <w:sz w:val="24"/>
                <w:szCs w:val="24"/>
              </w:rPr>
            </w:pPr>
            <w:r w:rsidDel="00000000" w:rsidR="00000000" w:rsidRPr="00000000">
              <w:rPr>
                <w:rFonts w:ascii="Noto Sans Symbols" w:cs="Noto Sans Symbols" w:eastAsia="Noto Sans Symbols" w:hAnsi="Noto Sans Symbols"/>
                <w:b w:val="1"/>
                <w:color w:val="000000"/>
                <w:sz w:val="32"/>
                <w:szCs w:val="32"/>
                <w:rtl w:val="0"/>
              </w:rPr>
              <w:t xml:space="preserve">◻</w:t>
            </w:r>
            <w:r w:rsidDel="00000000" w:rsidR="00000000" w:rsidRPr="00000000">
              <w:rPr>
                <w:rtl w:val="0"/>
              </w:rPr>
            </w:r>
          </w:p>
        </w:tc>
      </w:tr>
    </w:tbl>
    <w:p w:rsidR="00000000" w:rsidDel="00000000" w:rsidP="00000000" w:rsidRDefault="00000000" w:rsidRPr="00000000" w14:paraId="0000005B">
      <w:pPr>
        <w:pageBreakBefore w:val="0"/>
        <w:spacing w:after="0" w:line="240" w:lineRule="auto"/>
        <w:ind w:left="14" w:hanging="14"/>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C">
      <w:pPr>
        <w:pageBreakBefore w:val="0"/>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2.  How often do you have problems learning about your medical conditions because of difficulty understanding written information?</w:t>
      </w:r>
    </w:p>
    <w:tbl>
      <w:tblPr>
        <w:tblStyle w:val="Table3"/>
        <w:tblW w:w="686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23"/>
        <w:gridCol w:w="1223"/>
        <w:gridCol w:w="1497"/>
        <w:gridCol w:w="1697"/>
        <w:gridCol w:w="1223"/>
        <w:tblGridChange w:id="0">
          <w:tblGrid>
            <w:gridCol w:w="1223"/>
            <w:gridCol w:w="1223"/>
            <w:gridCol w:w="1497"/>
            <w:gridCol w:w="1697"/>
            <w:gridCol w:w="1223"/>
          </w:tblGrid>
        </w:tblGridChange>
      </w:tblGrid>
      <w:tr>
        <w:trPr>
          <w:cantSplit w:val="0"/>
          <w:trHeight w:val="900" w:hRule="atLeast"/>
          <w:tblHeader w:val="0"/>
        </w:trPr>
        <w:tc>
          <w:tcPr/>
          <w:p w:rsidR="00000000" w:rsidDel="00000000" w:rsidP="00000000" w:rsidRDefault="00000000" w:rsidRPr="00000000" w14:paraId="0000005D">
            <w:pPr>
              <w:pageBreakBefore w:val="0"/>
              <w:spacing w:after="0" w:line="240" w:lineRule="auto"/>
              <w:ind w:left="14" w:hanging="14"/>
              <w:jc w:val="cente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Always</w:t>
            </w:r>
            <w:r w:rsidDel="00000000" w:rsidR="00000000" w:rsidRPr="00000000">
              <w:rPr>
                <w:rtl w:val="0"/>
              </w:rPr>
            </w:r>
          </w:p>
          <w:p w:rsidR="00000000" w:rsidDel="00000000" w:rsidP="00000000" w:rsidRDefault="00000000" w:rsidRPr="00000000" w14:paraId="0000005E">
            <w:pPr>
              <w:pageBreakBefore w:val="0"/>
              <w:spacing w:after="0" w:line="240" w:lineRule="auto"/>
              <w:ind w:left="14" w:hanging="14"/>
              <w:jc w:val="center"/>
              <w:rPr>
                <w:rFonts w:ascii="Arial" w:cs="Arial" w:eastAsia="Arial" w:hAnsi="Arial"/>
                <w:color w:val="000000"/>
                <w:sz w:val="24"/>
                <w:szCs w:val="24"/>
              </w:rPr>
            </w:pPr>
            <w:r w:rsidDel="00000000" w:rsidR="00000000" w:rsidRPr="00000000">
              <w:rPr>
                <w:rFonts w:ascii="Noto Sans Symbols" w:cs="Noto Sans Symbols" w:eastAsia="Noto Sans Symbols" w:hAnsi="Noto Sans Symbols"/>
                <w:b w:val="1"/>
                <w:color w:val="000000"/>
                <w:sz w:val="32"/>
                <w:szCs w:val="32"/>
                <w:rtl w:val="0"/>
              </w:rPr>
              <w:t xml:space="preserve">◻</w:t>
            </w:r>
            <w:r w:rsidDel="00000000" w:rsidR="00000000" w:rsidRPr="00000000">
              <w:rPr>
                <w:rtl w:val="0"/>
              </w:rPr>
            </w:r>
          </w:p>
        </w:tc>
        <w:tc>
          <w:tcPr/>
          <w:p w:rsidR="00000000" w:rsidDel="00000000" w:rsidP="00000000" w:rsidRDefault="00000000" w:rsidRPr="00000000" w14:paraId="0000005F">
            <w:pPr>
              <w:pageBreakBefore w:val="0"/>
              <w:spacing w:after="0" w:line="240" w:lineRule="auto"/>
              <w:ind w:left="14" w:hanging="14"/>
              <w:jc w:val="cente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Often</w:t>
            </w:r>
            <w:r w:rsidDel="00000000" w:rsidR="00000000" w:rsidRPr="00000000">
              <w:rPr>
                <w:rtl w:val="0"/>
              </w:rPr>
            </w:r>
          </w:p>
          <w:p w:rsidR="00000000" w:rsidDel="00000000" w:rsidP="00000000" w:rsidRDefault="00000000" w:rsidRPr="00000000" w14:paraId="00000060">
            <w:pPr>
              <w:pageBreakBefore w:val="0"/>
              <w:spacing w:after="0" w:line="240" w:lineRule="auto"/>
              <w:ind w:left="14" w:hanging="14"/>
              <w:jc w:val="center"/>
              <w:rPr>
                <w:rFonts w:ascii="Arial" w:cs="Arial" w:eastAsia="Arial" w:hAnsi="Arial"/>
                <w:color w:val="000000"/>
                <w:sz w:val="24"/>
                <w:szCs w:val="24"/>
              </w:rPr>
            </w:pPr>
            <w:r w:rsidDel="00000000" w:rsidR="00000000" w:rsidRPr="00000000">
              <w:rPr>
                <w:rFonts w:ascii="Noto Sans Symbols" w:cs="Noto Sans Symbols" w:eastAsia="Noto Sans Symbols" w:hAnsi="Noto Sans Symbols"/>
                <w:b w:val="1"/>
                <w:color w:val="000000"/>
                <w:sz w:val="32"/>
                <w:szCs w:val="32"/>
                <w:rtl w:val="0"/>
              </w:rPr>
              <w:t xml:space="preserve">◻</w:t>
            </w:r>
            <w:r w:rsidDel="00000000" w:rsidR="00000000" w:rsidRPr="00000000">
              <w:rPr>
                <w:rtl w:val="0"/>
              </w:rPr>
            </w:r>
          </w:p>
        </w:tc>
        <w:tc>
          <w:tcPr/>
          <w:p w:rsidR="00000000" w:rsidDel="00000000" w:rsidP="00000000" w:rsidRDefault="00000000" w:rsidRPr="00000000" w14:paraId="00000061">
            <w:pPr>
              <w:pageBreakBefore w:val="0"/>
              <w:spacing w:after="0" w:line="240" w:lineRule="auto"/>
              <w:ind w:left="14" w:hanging="14"/>
              <w:jc w:val="cente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Sometimes</w:t>
            </w:r>
            <w:r w:rsidDel="00000000" w:rsidR="00000000" w:rsidRPr="00000000">
              <w:rPr>
                <w:rtl w:val="0"/>
              </w:rPr>
            </w:r>
          </w:p>
          <w:p w:rsidR="00000000" w:rsidDel="00000000" w:rsidP="00000000" w:rsidRDefault="00000000" w:rsidRPr="00000000" w14:paraId="00000062">
            <w:pPr>
              <w:pageBreakBefore w:val="0"/>
              <w:spacing w:after="0" w:line="240" w:lineRule="auto"/>
              <w:ind w:left="14" w:hanging="14"/>
              <w:jc w:val="center"/>
              <w:rPr>
                <w:rFonts w:ascii="Arial" w:cs="Arial" w:eastAsia="Arial" w:hAnsi="Arial"/>
                <w:color w:val="000000"/>
                <w:sz w:val="24"/>
                <w:szCs w:val="24"/>
              </w:rPr>
            </w:pPr>
            <w:r w:rsidDel="00000000" w:rsidR="00000000" w:rsidRPr="00000000">
              <w:rPr>
                <w:rFonts w:ascii="Noto Sans Symbols" w:cs="Noto Sans Symbols" w:eastAsia="Noto Sans Symbols" w:hAnsi="Noto Sans Symbols"/>
                <w:b w:val="1"/>
                <w:color w:val="000000"/>
                <w:sz w:val="32"/>
                <w:szCs w:val="32"/>
                <w:rtl w:val="0"/>
              </w:rPr>
              <w:t xml:space="preserve">◻</w:t>
            </w:r>
            <w:r w:rsidDel="00000000" w:rsidR="00000000" w:rsidRPr="00000000">
              <w:rPr>
                <w:rtl w:val="0"/>
              </w:rPr>
            </w:r>
          </w:p>
        </w:tc>
        <w:tc>
          <w:tcPr/>
          <w:p w:rsidR="00000000" w:rsidDel="00000000" w:rsidP="00000000" w:rsidRDefault="00000000" w:rsidRPr="00000000" w14:paraId="00000063">
            <w:pPr>
              <w:pageBreakBefore w:val="0"/>
              <w:spacing w:after="0" w:line="240" w:lineRule="auto"/>
              <w:ind w:left="14" w:hanging="14"/>
              <w:jc w:val="cente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Occasionally</w:t>
            </w:r>
            <w:r w:rsidDel="00000000" w:rsidR="00000000" w:rsidRPr="00000000">
              <w:rPr>
                <w:rtl w:val="0"/>
              </w:rPr>
            </w:r>
          </w:p>
          <w:p w:rsidR="00000000" w:rsidDel="00000000" w:rsidP="00000000" w:rsidRDefault="00000000" w:rsidRPr="00000000" w14:paraId="00000064">
            <w:pPr>
              <w:pageBreakBefore w:val="0"/>
              <w:spacing w:after="0" w:line="240" w:lineRule="auto"/>
              <w:ind w:left="14" w:hanging="14"/>
              <w:jc w:val="center"/>
              <w:rPr>
                <w:rFonts w:ascii="Arial" w:cs="Arial" w:eastAsia="Arial" w:hAnsi="Arial"/>
                <w:color w:val="000000"/>
                <w:sz w:val="24"/>
                <w:szCs w:val="24"/>
              </w:rPr>
            </w:pPr>
            <w:r w:rsidDel="00000000" w:rsidR="00000000" w:rsidRPr="00000000">
              <w:rPr>
                <w:rFonts w:ascii="Noto Sans Symbols" w:cs="Noto Sans Symbols" w:eastAsia="Noto Sans Symbols" w:hAnsi="Noto Sans Symbols"/>
                <w:b w:val="1"/>
                <w:color w:val="000000"/>
                <w:sz w:val="32"/>
                <w:szCs w:val="32"/>
                <w:rtl w:val="0"/>
              </w:rPr>
              <w:t xml:space="preserve">◻</w:t>
            </w:r>
            <w:r w:rsidDel="00000000" w:rsidR="00000000" w:rsidRPr="00000000">
              <w:rPr>
                <w:rtl w:val="0"/>
              </w:rPr>
            </w:r>
          </w:p>
        </w:tc>
        <w:tc>
          <w:tcPr/>
          <w:p w:rsidR="00000000" w:rsidDel="00000000" w:rsidP="00000000" w:rsidRDefault="00000000" w:rsidRPr="00000000" w14:paraId="00000065">
            <w:pPr>
              <w:pageBreakBefore w:val="0"/>
              <w:spacing w:after="0" w:line="240" w:lineRule="auto"/>
              <w:ind w:left="14" w:hanging="14"/>
              <w:jc w:val="cente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Never</w:t>
            </w:r>
            <w:r w:rsidDel="00000000" w:rsidR="00000000" w:rsidRPr="00000000">
              <w:rPr>
                <w:rtl w:val="0"/>
              </w:rPr>
            </w:r>
          </w:p>
          <w:p w:rsidR="00000000" w:rsidDel="00000000" w:rsidP="00000000" w:rsidRDefault="00000000" w:rsidRPr="00000000" w14:paraId="00000066">
            <w:pPr>
              <w:pageBreakBefore w:val="0"/>
              <w:spacing w:after="0" w:line="240" w:lineRule="auto"/>
              <w:ind w:left="14" w:hanging="14"/>
              <w:jc w:val="center"/>
              <w:rPr>
                <w:rFonts w:ascii="Arial" w:cs="Arial" w:eastAsia="Arial" w:hAnsi="Arial"/>
                <w:color w:val="000000"/>
                <w:sz w:val="24"/>
                <w:szCs w:val="24"/>
              </w:rPr>
            </w:pPr>
            <w:r w:rsidDel="00000000" w:rsidR="00000000" w:rsidRPr="00000000">
              <w:rPr>
                <w:rFonts w:ascii="Noto Sans Symbols" w:cs="Noto Sans Symbols" w:eastAsia="Noto Sans Symbols" w:hAnsi="Noto Sans Symbols"/>
                <w:b w:val="1"/>
                <w:color w:val="000000"/>
                <w:sz w:val="32"/>
                <w:szCs w:val="32"/>
                <w:rtl w:val="0"/>
              </w:rPr>
              <w:t xml:space="preserve">◻</w:t>
            </w:r>
            <w:r w:rsidDel="00000000" w:rsidR="00000000" w:rsidRPr="00000000">
              <w:rPr>
                <w:rtl w:val="0"/>
              </w:rPr>
            </w:r>
          </w:p>
        </w:tc>
      </w:tr>
    </w:tbl>
    <w:p w:rsidR="00000000" w:rsidDel="00000000" w:rsidP="00000000" w:rsidRDefault="00000000" w:rsidRPr="00000000" w14:paraId="00000067">
      <w:pPr>
        <w:pageBreakBefore w:val="0"/>
        <w:spacing w:after="0" w:line="240" w:lineRule="auto"/>
        <w:ind w:left="14" w:hanging="14"/>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8">
      <w:pPr>
        <w:pageBreakBefore w:val="0"/>
        <w:spacing w:after="0" w:line="240" w:lineRule="auto"/>
        <w:ind w:left="14" w:hanging="14"/>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3. How often do you have a problem understanding what is told to you about your medical condition?</w:t>
      </w:r>
    </w:p>
    <w:tbl>
      <w:tblPr>
        <w:tblStyle w:val="Table4"/>
        <w:tblW w:w="686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23"/>
        <w:gridCol w:w="1223"/>
        <w:gridCol w:w="1497"/>
        <w:gridCol w:w="1697"/>
        <w:gridCol w:w="1223"/>
        <w:tblGridChange w:id="0">
          <w:tblGrid>
            <w:gridCol w:w="1223"/>
            <w:gridCol w:w="1223"/>
            <w:gridCol w:w="1497"/>
            <w:gridCol w:w="1697"/>
            <w:gridCol w:w="1223"/>
          </w:tblGrid>
        </w:tblGridChange>
      </w:tblGrid>
      <w:tr>
        <w:trPr>
          <w:cantSplit w:val="0"/>
          <w:trHeight w:val="900" w:hRule="atLeast"/>
          <w:tblHeader w:val="0"/>
        </w:trPr>
        <w:tc>
          <w:tcPr/>
          <w:p w:rsidR="00000000" w:rsidDel="00000000" w:rsidP="00000000" w:rsidRDefault="00000000" w:rsidRPr="00000000" w14:paraId="00000069">
            <w:pPr>
              <w:pageBreakBefore w:val="0"/>
              <w:spacing w:after="0" w:line="240" w:lineRule="auto"/>
              <w:ind w:left="14" w:hanging="14"/>
              <w:jc w:val="cente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Always</w:t>
            </w:r>
            <w:r w:rsidDel="00000000" w:rsidR="00000000" w:rsidRPr="00000000">
              <w:rPr>
                <w:rtl w:val="0"/>
              </w:rPr>
            </w:r>
          </w:p>
          <w:p w:rsidR="00000000" w:rsidDel="00000000" w:rsidP="00000000" w:rsidRDefault="00000000" w:rsidRPr="00000000" w14:paraId="0000006A">
            <w:pPr>
              <w:pageBreakBefore w:val="0"/>
              <w:spacing w:after="0" w:line="240" w:lineRule="auto"/>
              <w:ind w:left="14" w:hanging="14"/>
              <w:jc w:val="center"/>
              <w:rPr>
                <w:rFonts w:ascii="Arial" w:cs="Arial" w:eastAsia="Arial" w:hAnsi="Arial"/>
                <w:color w:val="000000"/>
                <w:sz w:val="24"/>
                <w:szCs w:val="24"/>
              </w:rPr>
            </w:pPr>
            <w:r w:rsidDel="00000000" w:rsidR="00000000" w:rsidRPr="00000000">
              <w:rPr>
                <w:rFonts w:ascii="Noto Sans Symbols" w:cs="Noto Sans Symbols" w:eastAsia="Noto Sans Symbols" w:hAnsi="Noto Sans Symbols"/>
                <w:b w:val="1"/>
                <w:color w:val="000000"/>
                <w:sz w:val="32"/>
                <w:szCs w:val="32"/>
                <w:rtl w:val="0"/>
              </w:rPr>
              <w:t xml:space="preserve">◻</w:t>
            </w:r>
            <w:r w:rsidDel="00000000" w:rsidR="00000000" w:rsidRPr="00000000">
              <w:rPr>
                <w:rtl w:val="0"/>
              </w:rPr>
            </w:r>
          </w:p>
        </w:tc>
        <w:tc>
          <w:tcPr/>
          <w:p w:rsidR="00000000" w:rsidDel="00000000" w:rsidP="00000000" w:rsidRDefault="00000000" w:rsidRPr="00000000" w14:paraId="0000006B">
            <w:pPr>
              <w:pageBreakBefore w:val="0"/>
              <w:spacing w:after="0" w:line="240" w:lineRule="auto"/>
              <w:ind w:left="14" w:hanging="14"/>
              <w:jc w:val="cente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Often</w:t>
            </w:r>
            <w:r w:rsidDel="00000000" w:rsidR="00000000" w:rsidRPr="00000000">
              <w:rPr>
                <w:rtl w:val="0"/>
              </w:rPr>
            </w:r>
          </w:p>
          <w:p w:rsidR="00000000" w:rsidDel="00000000" w:rsidP="00000000" w:rsidRDefault="00000000" w:rsidRPr="00000000" w14:paraId="0000006C">
            <w:pPr>
              <w:pageBreakBefore w:val="0"/>
              <w:spacing w:after="0" w:line="240" w:lineRule="auto"/>
              <w:ind w:left="14" w:hanging="14"/>
              <w:jc w:val="center"/>
              <w:rPr>
                <w:rFonts w:ascii="Arial" w:cs="Arial" w:eastAsia="Arial" w:hAnsi="Arial"/>
                <w:color w:val="000000"/>
                <w:sz w:val="24"/>
                <w:szCs w:val="24"/>
              </w:rPr>
            </w:pPr>
            <w:r w:rsidDel="00000000" w:rsidR="00000000" w:rsidRPr="00000000">
              <w:rPr>
                <w:rFonts w:ascii="Noto Sans Symbols" w:cs="Noto Sans Symbols" w:eastAsia="Noto Sans Symbols" w:hAnsi="Noto Sans Symbols"/>
                <w:b w:val="1"/>
                <w:color w:val="000000"/>
                <w:sz w:val="32"/>
                <w:szCs w:val="32"/>
                <w:rtl w:val="0"/>
              </w:rPr>
              <w:t xml:space="preserve">◻</w:t>
            </w:r>
            <w:r w:rsidDel="00000000" w:rsidR="00000000" w:rsidRPr="00000000">
              <w:rPr>
                <w:rtl w:val="0"/>
              </w:rPr>
            </w:r>
          </w:p>
        </w:tc>
        <w:tc>
          <w:tcPr/>
          <w:p w:rsidR="00000000" w:rsidDel="00000000" w:rsidP="00000000" w:rsidRDefault="00000000" w:rsidRPr="00000000" w14:paraId="0000006D">
            <w:pPr>
              <w:pageBreakBefore w:val="0"/>
              <w:spacing w:after="0" w:line="240" w:lineRule="auto"/>
              <w:ind w:left="14" w:hanging="14"/>
              <w:jc w:val="cente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Sometimes</w:t>
            </w:r>
            <w:r w:rsidDel="00000000" w:rsidR="00000000" w:rsidRPr="00000000">
              <w:rPr>
                <w:rtl w:val="0"/>
              </w:rPr>
            </w:r>
          </w:p>
          <w:p w:rsidR="00000000" w:rsidDel="00000000" w:rsidP="00000000" w:rsidRDefault="00000000" w:rsidRPr="00000000" w14:paraId="0000006E">
            <w:pPr>
              <w:pageBreakBefore w:val="0"/>
              <w:spacing w:after="0" w:line="240" w:lineRule="auto"/>
              <w:ind w:left="14" w:hanging="14"/>
              <w:jc w:val="center"/>
              <w:rPr>
                <w:rFonts w:ascii="Arial" w:cs="Arial" w:eastAsia="Arial" w:hAnsi="Arial"/>
                <w:color w:val="000000"/>
                <w:sz w:val="24"/>
                <w:szCs w:val="24"/>
              </w:rPr>
            </w:pPr>
            <w:r w:rsidDel="00000000" w:rsidR="00000000" w:rsidRPr="00000000">
              <w:rPr>
                <w:rFonts w:ascii="Noto Sans Symbols" w:cs="Noto Sans Symbols" w:eastAsia="Noto Sans Symbols" w:hAnsi="Noto Sans Symbols"/>
                <w:b w:val="1"/>
                <w:color w:val="000000"/>
                <w:sz w:val="32"/>
                <w:szCs w:val="32"/>
                <w:rtl w:val="0"/>
              </w:rPr>
              <w:t xml:space="preserve">◻</w:t>
            </w:r>
            <w:r w:rsidDel="00000000" w:rsidR="00000000" w:rsidRPr="00000000">
              <w:rPr>
                <w:rtl w:val="0"/>
              </w:rPr>
            </w:r>
          </w:p>
        </w:tc>
        <w:tc>
          <w:tcPr/>
          <w:p w:rsidR="00000000" w:rsidDel="00000000" w:rsidP="00000000" w:rsidRDefault="00000000" w:rsidRPr="00000000" w14:paraId="0000006F">
            <w:pPr>
              <w:pageBreakBefore w:val="0"/>
              <w:spacing w:after="0" w:line="240" w:lineRule="auto"/>
              <w:ind w:left="14" w:hanging="14"/>
              <w:jc w:val="cente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Occasionally</w:t>
            </w:r>
            <w:r w:rsidDel="00000000" w:rsidR="00000000" w:rsidRPr="00000000">
              <w:rPr>
                <w:rtl w:val="0"/>
              </w:rPr>
            </w:r>
          </w:p>
          <w:p w:rsidR="00000000" w:rsidDel="00000000" w:rsidP="00000000" w:rsidRDefault="00000000" w:rsidRPr="00000000" w14:paraId="00000070">
            <w:pPr>
              <w:pageBreakBefore w:val="0"/>
              <w:spacing w:after="0" w:line="240" w:lineRule="auto"/>
              <w:ind w:left="14" w:hanging="14"/>
              <w:jc w:val="center"/>
              <w:rPr>
                <w:rFonts w:ascii="Arial" w:cs="Arial" w:eastAsia="Arial" w:hAnsi="Arial"/>
                <w:color w:val="000000"/>
                <w:sz w:val="24"/>
                <w:szCs w:val="24"/>
              </w:rPr>
            </w:pPr>
            <w:r w:rsidDel="00000000" w:rsidR="00000000" w:rsidRPr="00000000">
              <w:rPr>
                <w:rFonts w:ascii="Noto Sans Symbols" w:cs="Noto Sans Symbols" w:eastAsia="Noto Sans Symbols" w:hAnsi="Noto Sans Symbols"/>
                <w:b w:val="1"/>
                <w:color w:val="000000"/>
                <w:sz w:val="32"/>
                <w:szCs w:val="32"/>
                <w:rtl w:val="0"/>
              </w:rPr>
              <w:t xml:space="preserve">◻</w:t>
            </w:r>
            <w:r w:rsidDel="00000000" w:rsidR="00000000" w:rsidRPr="00000000">
              <w:rPr>
                <w:rtl w:val="0"/>
              </w:rPr>
            </w:r>
          </w:p>
        </w:tc>
        <w:tc>
          <w:tcPr/>
          <w:p w:rsidR="00000000" w:rsidDel="00000000" w:rsidP="00000000" w:rsidRDefault="00000000" w:rsidRPr="00000000" w14:paraId="00000071">
            <w:pPr>
              <w:pageBreakBefore w:val="0"/>
              <w:spacing w:after="0" w:line="240" w:lineRule="auto"/>
              <w:ind w:left="14" w:hanging="14"/>
              <w:jc w:val="cente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Never</w:t>
            </w:r>
            <w:r w:rsidDel="00000000" w:rsidR="00000000" w:rsidRPr="00000000">
              <w:rPr>
                <w:rtl w:val="0"/>
              </w:rPr>
            </w:r>
          </w:p>
          <w:p w:rsidR="00000000" w:rsidDel="00000000" w:rsidP="00000000" w:rsidRDefault="00000000" w:rsidRPr="00000000" w14:paraId="00000072">
            <w:pPr>
              <w:pageBreakBefore w:val="0"/>
              <w:spacing w:after="0" w:line="240" w:lineRule="auto"/>
              <w:ind w:left="14" w:hanging="14"/>
              <w:jc w:val="center"/>
              <w:rPr>
                <w:rFonts w:ascii="Arial" w:cs="Arial" w:eastAsia="Arial" w:hAnsi="Arial"/>
                <w:color w:val="000000"/>
                <w:sz w:val="24"/>
                <w:szCs w:val="24"/>
              </w:rPr>
            </w:pPr>
            <w:r w:rsidDel="00000000" w:rsidR="00000000" w:rsidRPr="00000000">
              <w:rPr>
                <w:rFonts w:ascii="Noto Sans Symbols" w:cs="Noto Sans Symbols" w:eastAsia="Noto Sans Symbols" w:hAnsi="Noto Sans Symbols"/>
                <w:b w:val="1"/>
                <w:color w:val="000000"/>
                <w:sz w:val="32"/>
                <w:szCs w:val="32"/>
                <w:rtl w:val="0"/>
              </w:rPr>
              <w:t xml:space="preserve">◻</w:t>
            </w:r>
            <w:r w:rsidDel="00000000" w:rsidR="00000000" w:rsidRPr="00000000">
              <w:rPr>
                <w:rtl w:val="0"/>
              </w:rPr>
            </w:r>
          </w:p>
        </w:tc>
      </w:tr>
    </w:tbl>
    <w:p w:rsidR="00000000" w:rsidDel="00000000" w:rsidP="00000000" w:rsidRDefault="00000000" w:rsidRPr="00000000" w14:paraId="00000073">
      <w:pPr>
        <w:pageBreakBefore w:val="0"/>
        <w:spacing w:after="0" w:line="240" w:lineRule="auto"/>
        <w:ind w:left="14" w:hanging="14"/>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4">
      <w:pPr>
        <w:pageBreakBefore w:val="0"/>
        <w:spacing w:after="0" w:line="240" w:lineRule="auto"/>
        <w:ind w:left="14" w:hanging="14"/>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5">
      <w:pPr>
        <w:pageBreakBefore w:val="0"/>
        <w:spacing w:after="0" w:line="240" w:lineRule="auto"/>
        <w:ind w:left="14" w:hanging="14"/>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4. How confident are you filling out medical forms by yourself?</w:t>
      </w:r>
    </w:p>
    <w:tbl>
      <w:tblPr>
        <w:tblStyle w:val="Table5"/>
        <w:tblW w:w="64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23"/>
        <w:gridCol w:w="1223"/>
        <w:gridCol w:w="1417"/>
        <w:gridCol w:w="1223"/>
        <w:gridCol w:w="1364"/>
        <w:tblGridChange w:id="0">
          <w:tblGrid>
            <w:gridCol w:w="1223"/>
            <w:gridCol w:w="1223"/>
            <w:gridCol w:w="1417"/>
            <w:gridCol w:w="1223"/>
            <w:gridCol w:w="1364"/>
          </w:tblGrid>
        </w:tblGridChange>
      </w:tblGrid>
      <w:tr>
        <w:trPr>
          <w:cantSplit w:val="0"/>
          <w:trHeight w:val="900" w:hRule="atLeast"/>
          <w:tblHeader w:val="0"/>
        </w:trPr>
        <w:tc>
          <w:tcPr/>
          <w:p w:rsidR="00000000" w:rsidDel="00000000" w:rsidP="00000000" w:rsidRDefault="00000000" w:rsidRPr="00000000" w14:paraId="00000076">
            <w:pPr>
              <w:pageBreakBefore w:val="0"/>
              <w:spacing w:after="0" w:line="240" w:lineRule="auto"/>
              <w:ind w:left="14" w:hanging="14"/>
              <w:jc w:val="cente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Not at all</w:t>
            </w:r>
            <w:r w:rsidDel="00000000" w:rsidR="00000000" w:rsidRPr="00000000">
              <w:rPr>
                <w:rtl w:val="0"/>
              </w:rPr>
            </w:r>
          </w:p>
          <w:p w:rsidR="00000000" w:rsidDel="00000000" w:rsidP="00000000" w:rsidRDefault="00000000" w:rsidRPr="00000000" w14:paraId="00000077">
            <w:pPr>
              <w:pageBreakBefore w:val="0"/>
              <w:spacing w:after="0" w:line="240" w:lineRule="auto"/>
              <w:ind w:left="14" w:hanging="14"/>
              <w:jc w:val="center"/>
              <w:rPr>
                <w:rFonts w:ascii="Arial" w:cs="Arial" w:eastAsia="Arial" w:hAnsi="Arial"/>
                <w:color w:val="000000"/>
                <w:sz w:val="24"/>
                <w:szCs w:val="24"/>
              </w:rPr>
            </w:pPr>
            <w:r w:rsidDel="00000000" w:rsidR="00000000" w:rsidRPr="00000000">
              <w:rPr>
                <w:rFonts w:ascii="Noto Sans Symbols" w:cs="Noto Sans Symbols" w:eastAsia="Noto Sans Symbols" w:hAnsi="Noto Sans Symbols"/>
                <w:b w:val="1"/>
                <w:color w:val="000000"/>
                <w:sz w:val="32"/>
                <w:szCs w:val="32"/>
                <w:rtl w:val="0"/>
              </w:rPr>
              <w:t xml:space="preserve">◻</w:t>
            </w:r>
            <w:r w:rsidDel="00000000" w:rsidR="00000000" w:rsidRPr="00000000">
              <w:rPr>
                <w:rtl w:val="0"/>
              </w:rPr>
            </w:r>
          </w:p>
        </w:tc>
        <w:tc>
          <w:tcPr/>
          <w:p w:rsidR="00000000" w:rsidDel="00000000" w:rsidP="00000000" w:rsidRDefault="00000000" w:rsidRPr="00000000" w14:paraId="00000078">
            <w:pPr>
              <w:pageBreakBefore w:val="0"/>
              <w:spacing w:after="0" w:line="240" w:lineRule="auto"/>
              <w:ind w:left="14" w:hanging="14"/>
              <w:jc w:val="cente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A little bit</w:t>
            </w:r>
            <w:r w:rsidDel="00000000" w:rsidR="00000000" w:rsidRPr="00000000">
              <w:rPr>
                <w:rtl w:val="0"/>
              </w:rPr>
            </w:r>
          </w:p>
          <w:p w:rsidR="00000000" w:rsidDel="00000000" w:rsidP="00000000" w:rsidRDefault="00000000" w:rsidRPr="00000000" w14:paraId="00000079">
            <w:pPr>
              <w:pageBreakBefore w:val="0"/>
              <w:spacing w:after="0" w:line="240" w:lineRule="auto"/>
              <w:ind w:left="14" w:hanging="14"/>
              <w:jc w:val="center"/>
              <w:rPr>
                <w:rFonts w:ascii="Arial" w:cs="Arial" w:eastAsia="Arial" w:hAnsi="Arial"/>
                <w:color w:val="000000"/>
                <w:sz w:val="24"/>
                <w:szCs w:val="24"/>
              </w:rPr>
            </w:pPr>
            <w:r w:rsidDel="00000000" w:rsidR="00000000" w:rsidRPr="00000000">
              <w:rPr>
                <w:rFonts w:ascii="Noto Sans Symbols" w:cs="Noto Sans Symbols" w:eastAsia="Noto Sans Symbols" w:hAnsi="Noto Sans Symbols"/>
                <w:b w:val="1"/>
                <w:color w:val="000000"/>
                <w:sz w:val="32"/>
                <w:szCs w:val="32"/>
                <w:rtl w:val="0"/>
              </w:rPr>
              <w:t xml:space="preserve">◻</w:t>
            </w:r>
            <w:r w:rsidDel="00000000" w:rsidR="00000000" w:rsidRPr="00000000">
              <w:rPr>
                <w:rtl w:val="0"/>
              </w:rPr>
            </w:r>
          </w:p>
        </w:tc>
        <w:tc>
          <w:tcPr/>
          <w:p w:rsidR="00000000" w:rsidDel="00000000" w:rsidP="00000000" w:rsidRDefault="00000000" w:rsidRPr="00000000" w14:paraId="0000007A">
            <w:pPr>
              <w:pageBreakBefore w:val="0"/>
              <w:spacing w:after="0" w:line="240" w:lineRule="auto"/>
              <w:ind w:left="14" w:hanging="14"/>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Somewhat</w:t>
            </w:r>
          </w:p>
          <w:p w:rsidR="00000000" w:rsidDel="00000000" w:rsidP="00000000" w:rsidRDefault="00000000" w:rsidRPr="00000000" w14:paraId="0000007B">
            <w:pPr>
              <w:pageBreakBefore w:val="0"/>
              <w:spacing w:after="0" w:line="240" w:lineRule="auto"/>
              <w:ind w:left="14" w:hanging="14"/>
              <w:jc w:val="center"/>
              <w:rPr>
                <w:rFonts w:ascii="Arial" w:cs="Arial" w:eastAsia="Arial" w:hAnsi="Arial"/>
                <w:color w:val="000000"/>
                <w:sz w:val="24"/>
                <w:szCs w:val="24"/>
              </w:rPr>
            </w:pPr>
            <w:r w:rsidDel="00000000" w:rsidR="00000000" w:rsidRPr="00000000">
              <w:rPr>
                <w:rFonts w:ascii="Noto Sans Symbols" w:cs="Noto Sans Symbols" w:eastAsia="Noto Sans Symbols" w:hAnsi="Noto Sans Symbols"/>
                <w:b w:val="1"/>
                <w:color w:val="000000"/>
                <w:sz w:val="32"/>
                <w:szCs w:val="32"/>
                <w:rtl w:val="0"/>
              </w:rPr>
              <w:t xml:space="preserve">◻</w:t>
            </w:r>
            <w:r w:rsidDel="00000000" w:rsidR="00000000" w:rsidRPr="00000000">
              <w:rPr>
                <w:rtl w:val="0"/>
              </w:rPr>
            </w:r>
          </w:p>
        </w:tc>
        <w:tc>
          <w:tcPr/>
          <w:p w:rsidR="00000000" w:rsidDel="00000000" w:rsidP="00000000" w:rsidRDefault="00000000" w:rsidRPr="00000000" w14:paraId="0000007C">
            <w:pPr>
              <w:pageBreakBefore w:val="0"/>
              <w:spacing w:after="0" w:line="240" w:lineRule="auto"/>
              <w:ind w:left="14" w:hanging="14"/>
              <w:jc w:val="cente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Quite a bit</w:t>
            </w:r>
            <w:r w:rsidDel="00000000" w:rsidR="00000000" w:rsidRPr="00000000">
              <w:rPr>
                <w:rtl w:val="0"/>
              </w:rPr>
            </w:r>
          </w:p>
          <w:p w:rsidR="00000000" w:rsidDel="00000000" w:rsidP="00000000" w:rsidRDefault="00000000" w:rsidRPr="00000000" w14:paraId="0000007D">
            <w:pPr>
              <w:pageBreakBefore w:val="0"/>
              <w:spacing w:after="0" w:line="240" w:lineRule="auto"/>
              <w:ind w:left="14" w:hanging="14"/>
              <w:jc w:val="center"/>
              <w:rPr>
                <w:rFonts w:ascii="Arial" w:cs="Arial" w:eastAsia="Arial" w:hAnsi="Arial"/>
                <w:color w:val="000000"/>
                <w:sz w:val="24"/>
                <w:szCs w:val="24"/>
              </w:rPr>
            </w:pPr>
            <w:r w:rsidDel="00000000" w:rsidR="00000000" w:rsidRPr="00000000">
              <w:rPr>
                <w:rFonts w:ascii="Noto Sans Symbols" w:cs="Noto Sans Symbols" w:eastAsia="Noto Sans Symbols" w:hAnsi="Noto Sans Symbols"/>
                <w:b w:val="1"/>
                <w:color w:val="000000"/>
                <w:sz w:val="32"/>
                <w:szCs w:val="32"/>
                <w:rtl w:val="0"/>
              </w:rPr>
              <w:t xml:space="preserve">◻</w:t>
            </w:r>
            <w:r w:rsidDel="00000000" w:rsidR="00000000" w:rsidRPr="00000000">
              <w:rPr>
                <w:rtl w:val="0"/>
              </w:rPr>
            </w:r>
          </w:p>
        </w:tc>
        <w:tc>
          <w:tcPr/>
          <w:p w:rsidR="00000000" w:rsidDel="00000000" w:rsidP="00000000" w:rsidRDefault="00000000" w:rsidRPr="00000000" w14:paraId="0000007E">
            <w:pPr>
              <w:pageBreakBefore w:val="0"/>
              <w:spacing w:after="0" w:line="240" w:lineRule="auto"/>
              <w:ind w:left="14" w:hanging="14"/>
              <w:jc w:val="cente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Extremely</w:t>
            </w:r>
            <w:r w:rsidDel="00000000" w:rsidR="00000000" w:rsidRPr="00000000">
              <w:rPr>
                <w:rtl w:val="0"/>
              </w:rPr>
            </w:r>
          </w:p>
          <w:p w:rsidR="00000000" w:rsidDel="00000000" w:rsidP="00000000" w:rsidRDefault="00000000" w:rsidRPr="00000000" w14:paraId="0000007F">
            <w:pPr>
              <w:pageBreakBefore w:val="0"/>
              <w:spacing w:after="0" w:line="240" w:lineRule="auto"/>
              <w:ind w:left="14" w:hanging="14"/>
              <w:jc w:val="center"/>
              <w:rPr>
                <w:rFonts w:ascii="Arial" w:cs="Arial" w:eastAsia="Arial" w:hAnsi="Arial"/>
                <w:color w:val="000000"/>
                <w:sz w:val="24"/>
                <w:szCs w:val="24"/>
              </w:rPr>
            </w:pPr>
            <w:r w:rsidDel="00000000" w:rsidR="00000000" w:rsidRPr="00000000">
              <w:rPr>
                <w:rFonts w:ascii="Noto Sans Symbols" w:cs="Noto Sans Symbols" w:eastAsia="Noto Sans Symbols" w:hAnsi="Noto Sans Symbols"/>
                <w:b w:val="1"/>
                <w:color w:val="000000"/>
                <w:sz w:val="32"/>
                <w:szCs w:val="32"/>
                <w:rtl w:val="0"/>
              </w:rPr>
              <w:t xml:space="preserve">◻</w:t>
            </w:r>
            <w:r w:rsidDel="00000000" w:rsidR="00000000" w:rsidRPr="00000000">
              <w:rPr>
                <w:rtl w:val="0"/>
              </w:rPr>
            </w:r>
          </w:p>
        </w:tc>
      </w:tr>
    </w:tbl>
    <w:p w:rsidR="00000000" w:rsidDel="00000000" w:rsidP="00000000" w:rsidRDefault="00000000" w:rsidRPr="00000000" w14:paraId="00000080">
      <w:pPr>
        <w:pageBreakBefore w:val="0"/>
        <w:spacing w:after="0" w:line="240" w:lineRule="auto"/>
        <w:ind w:left="14" w:hanging="14"/>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81">
      <w:pPr>
        <w:pageBreakBefore w:val="0"/>
        <w:spacing w:after="280" w:before="280" w:line="240" w:lineRule="auto"/>
        <w:rPr>
          <w:rFonts w:ascii="Times New Roman" w:cs="Times New Roman" w:eastAsia="Times New Roman" w:hAnsi="Times New Roman"/>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82">
      <w:pPr>
        <w:pageBreakBefore w:val="0"/>
        <w:rPr>
          <w:b w:val="1"/>
        </w:rPr>
      </w:pPr>
      <w:r w:rsidDel="00000000" w:rsidR="00000000" w:rsidRPr="00000000">
        <w:rPr>
          <w:rtl w:val="0"/>
        </w:rPr>
      </w:r>
    </w:p>
    <w:p w:rsidR="00000000" w:rsidDel="00000000" w:rsidP="00000000" w:rsidRDefault="00000000" w:rsidRPr="00000000" w14:paraId="00000083">
      <w:pPr>
        <w:pageBreakBefore w:val="0"/>
        <w:rPr>
          <w:b w:val="1"/>
        </w:rPr>
      </w:pPr>
      <w:r w:rsidDel="00000000" w:rsidR="00000000" w:rsidRPr="00000000">
        <w:rPr>
          <w:rtl w:val="0"/>
        </w:rPr>
      </w:r>
    </w:p>
    <w:p w:rsidR="00000000" w:rsidDel="00000000" w:rsidP="00000000" w:rsidRDefault="00000000" w:rsidRPr="00000000" w14:paraId="00000084">
      <w:pPr>
        <w:pageBreakBefore w:val="0"/>
        <w:pBdr>
          <w:bottom w:color="000000" w:space="1" w:sz="4" w:val="single"/>
        </w:pBdr>
        <w:rPr>
          <w:b w:val="1"/>
        </w:rPr>
      </w:pPr>
      <w:r w:rsidDel="00000000" w:rsidR="00000000" w:rsidRPr="00000000">
        <w:rPr>
          <w:b w:val="1"/>
          <w:rtl w:val="0"/>
        </w:rPr>
        <w:t xml:space="preserve">Paste or list CSER site-specific adaptation/deviation below</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