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1F4E79"/>
          <w:sz w:val="34"/>
        </w:rPr>
        <w:t>PLANEJAMENTO ESTRATÉGICO</w:t>
      </w:r>
    </w:p>
    <w:p>
      <w:pPr>
        <w:spacing w:after="2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Gestão 2026 a 2030: Plano de Ação</w:t>
      </w: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IDENTIFICAÇÃO DO PLANO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CellMar>
          <w:top w:w="34" w:type="dxa"/>
          <w:left w:w="108" w:type="dxa"/>
          <w:bottom w:w="34" w:type="dxa"/>
          <w:right w:w="108" w:type="dxa"/>
        </w:tblCellMar>
      </w:tblPr>
      <w:tblGrid>
        <w:gridCol w:w="2721"/>
        <w:gridCol w:w="6917"/>
      </w:tblGrid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DIRETRIZ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Transformação Digital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AÇÃO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Implementar o GPF 2.0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RESPONSÁVEL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Gerente de TI - André Vinícius de Oliveira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OBJETIVO ESTRATÉGICO VINCULADO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Otimização das Rotinas Operacionais por meio da Automação e Simplificação de Processos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META(S) OPERACIONAL(IS) VINCULADA(S)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Desenvolver e implementar o GPF 2.0; integrar os agentes de inteligência artificial aos sistemas GPF 1.0 e GPF 2.0; garantir a máxima disponibilidade dos sistemas; e eliminar o uso de controles paralelos no fluxo de gestão de projetos.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PERÍODO DE ACOMPANHAMENTO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Julho de 2026 a dezembro de 2029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ÁREAS ENVOLVIDAS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Conselho Diretor, Tecnologia da Informação, CIAs, Prestação de Contas, Compras, Importação, Logística, Gestão de Documentos, Administração de Pessoal, Gestão de Pessoas, Negócios e Parcerias, Financeiro e Contabilidade, Compliance, Jurídico.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VERSÃO</w:t>
            </w:r>
          </w:p>
        </w:tc>
        <w:tc>
          <w:tcPr>
            <w:tcW w:w="6917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</w:tr>
    </w:tbl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JUSTIFICATIVA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 crescimento da dependência tecnológica e da complexidade das demandas expõe fragilidades como fragmentação de sistemas, controles manuais (planilhas, e-mails) e variações informais entre áreas, comprometendo a rastreabilidade e a eficiência. A modernização tecnológica é essencial para sustentar a operação, integrar os sistemas corporativos e assegurar qualidade e previsibilidade.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Este plano de ação organiza, ao longo do quadriênio 2026-2029, a consolidação de uma plataforma corporativa única, a ampliação da automação e do uso de inteligência artificial, a garantia de alta disponibilidade dos sistemas e a eliminação progressiva de controles paralelos, com acompanhamento sistemático de prazos, responsáveis e indicadores.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Esta ação responde ao diagnóstico institucional elaborado pelos gerentes da Fundep. Relacionam-se a ela os seguintes itens da matriz FOFA, das fortalezas e dos problemas mapeados, identificados pela numeração de origem: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Forças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(101) Excelência na gestão administrativa e financeira de projetos.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(103) Benchmarking nacional em excelência operacional no setor de fundações.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(109) Capital humano altamente qualificado e multidisciplinar.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(111) Vantagem competitiva em soluções de TI proprietárias.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(114) Incentivo da Alta Direção ao uso de IA e automação.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(110) Gestão tecnológica e de informações integrada e adaptável.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(122) Orientação a dados (Business Intelligence).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Fraquezas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(311) Confiabilidade dos dados financeiros e extratos.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(313) Ausência de gestão de processos.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(320) Mudanças de processos de forma setorizada.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(332) Deficiência de processos e controles manuais.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(319) Ausência de sistemas para suporte às atividades de algumas áreas.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(333) Sistema ERP com deficiências.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(328) Processos de trabalho fragmentados.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(321) Falta de gestão de riscos.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(303) Falta de gestão de contingência.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(304) Manutenção da qualidade dos serviços diante de turnovers.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(325) Falta de integração de indicadores financeiros de ponta a ponta.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(340) Falta de regramento formal para as tomadas de decisão.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(315) Dependência de pessoas específicas para processos críticos.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(317) Segurança da informação e proteção de dados deficientes.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(327) Decisões não baseadas em dados.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(316) Falta de atendimento integral à LGPD.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(301) Fragilidade na comunicação interna: institucional e interáreas.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(323) Falta de cultura de gestão do conhecimento.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(331) Falta de integração dos fluxos de documentos.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(312) Instrumentos de governança desatualizados ou inexistentes.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(342) Falta de direcionamento para as mudanças e inovações.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(338) Avanço tecnológico mais rápido que a capacidade de adaptação interna.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Oportunidades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(221) Novo Sistema Financiado Externamente.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(206) Tecnologias digitais de Inteligência Artificial emergentes aplicadas a processos.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(220) Parcerias estratégicas com outras fundações de apoio.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Ameaças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(409) Escassez de mão de obra qualificada.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(407) Exigências crescentes de órgãos de controle, aumentando a complexidade operacional.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Fortalezas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(2102) Capacidade técnica operacional para atender demandas da UFMG de diferentes naturezas.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(6101) Referência e pioneirismo técnico em tecnologias digitais em gestão e atividades entre as Fundações de Apoio.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(6102) Constante evolução da fronteira tecnológica para tecnologias digitais, possibilitando aumento da eficiência operacional.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Problemas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(2201) Fraca integração entre equipes na gestão ponta a ponta de projetos.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(2202) Despadronização das operações gerais na Fundep.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(2203) Gestão de risco não estruturada para ampliar a segurança da tomada de decisão.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(4203) Dependência de pessoas de referência.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(6201) Fragilidade no atendimento legal em segurança de dados.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(6202) As necessidades técnicas digitais e de segurança são subestimadas comparadas às vontades dos usuários.</w:t>
      </w: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ATIVIDADES</w:t>
      </w: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2F5496"/>
          <w:sz w:val="24"/>
        </w:rPr>
        <w:t>01. Desenvolver e implementar o GPF 2.0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Desenvolvimento e implantação de plataforma corporativa única, modular e escalável, cobrindo o ciclo de vida do projeto, de modo que, ao fim do ciclo 2026-2029, 100% dos projetos ativos operem integralmente no sistema. Desenvolvimento previsto até 2028 e implantação até 2029.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Investimento previsto de R$ 2.832.967,52, dividido em três parcelas conforme a etapa:</w:t>
      </w:r>
    </w:p>
    <w:p>
      <w:pPr>
        <w:spacing w:before="0" w:after="60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a)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Manutenção do espaço de trabalho, R$ 30.000,00 em 2027: adequação e conservação do ambiente ocupado pela equipe durante a construção da plataforma.</w:t>
      </w:r>
    </w:p>
    <w:p>
      <w:pPr>
        <w:spacing w:before="0" w:after="60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b)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Lanche e utilidades da equipe terceirizada, R$ 202.967,52 entre o 3º trimestre de 2026 e o 2º trimestre de 2028: R$ 8.456,98 por mês, ao longo de 24 meses, cobrindo pães e frutas, auxiliar de limpeza, energia elétrica e água. Por ano, o gasto fica em R$ 50.741,88 em 2026 (seis meses), R$ 101.483,76 em 2027 e R$ 50.741,88 em 2028 (seis meses).</w:t>
      </w:r>
    </w:p>
    <w:p>
      <w:pPr>
        <w:spacing w:before="0" w:after="160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c)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Implantação, R$ 2.600.000,00 em 2029: entrada em produção da plataforma e migração dos projetos ativos. A composição desta parcela (equipe, licenças, infraestrutura e serviços de terceiros) está a preencher.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Indicadores: percentual de projetos ativos operando na plataforma (meta: 100% até 2029); percentual de escopo desenvolvido (meta: 100% até 2028), medido trimestralmente.</w:t>
      </w: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2F5496"/>
          <w:sz w:val="24"/>
        </w:rPr>
        <w:t>02. Integrar os agentes de inteligência artificial aos sistemas GPF 1.0 e GPF 2.0.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Integração dos agentes de inteligência artificial desenvolvidos no plano de ação </w:t>
      </w:r>
      <w:r>
        <w:rPr>
          <w:rFonts w:ascii="Times New Roman" w:hAnsi="Times New Roman" w:cs="Times New Roman" w:eastAsia="Times New Roman"/>
          <w:b w:val="0"/>
          <w:i/>
          <w:sz w:val="24"/>
        </w:rPr>
        <w:t>Implementar Agentes de IA na Gestão de Projetos Ponta a Ponta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aos sistemas corporativos, de modo que operem tanto sobre o GPF 1.0, ainda em uso durante a transição, quanto sobre o GPF 2.0, à medida que seus módulos entrarem em produção. Período de julho/2026 a março/2028.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Investimento previsto de R$ 0,00. A atividade não tem custo próprio porque os agentes já são custeados no plano de ação específico de agentes de IA, que responde pela aquisição de equipamentos, pelas licenças de uso e pela operação dos modelos. Aqui resta o trabalho de integração, executado pela equipe própria de TI com as ferramentas e a infraestrutura já contratadas, sem aquisição adicional prevista.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Indicador: percentual de agentes de inteligência artificial integrados aos sistemas corporativos (meta: 100% dos agentes em produção até 2028), medido trimestralmente.</w:t>
      </w: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2F5496"/>
          <w:sz w:val="24"/>
        </w:rPr>
        <w:t>03. Garantir a máxima disponibilidade dos sistemas.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Estruturação de processos e infraestrutura para assegurar a disponibilidade dos sistemas críticos. Período de junho/2026 a março/2029.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Investimento previsto de R$ 4.550.000,00, o maior desta ação, por se tratar do custeio contínuo do ambiente que sustenta a operação: infraestrutura, licenças, contratos de suporte e monitoramento dos sistemas críticos. Diferente das demais atividades, o gasto se repete todo ano enquanto os sistemas estiverem em operação, e não se concentra em uma entrega. A composição detalhada de cada ano está a preencher, assim como o valor de 2026, ano de início da atividade.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Gasto anual previsto para a atividade: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4422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34" w:type="dxa"/>
          <w:left w:w="108" w:type="dxa"/>
          <w:bottom w:w="34" w:type="dxa"/>
          <w:right w:w="108" w:type="dxa"/>
        </w:tblCellMar>
      </w:tblPr>
      <w:tblGrid>
        <w:gridCol w:w="1474"/>
        <w:gridCol w:w="2948"/>
      </w:tblGrid>
      <w:tr>
        <w:trPr>
          <w:cantSplit/>
        </w:trPr>
        <w:tc>
          <w:tcPr>
            <w:tcW w:w="1474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Ano</w:t>
            </w:r>
          </w:p>
        </w:tc>
        <w:tc>
          <w:tcPr>
            <w:tcW w:w="2948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Gasto anual</w:t>
            </w:r>
          </w:p>
        </w:tc>
      </w:tr>
      <w:tr>
        <w:trPr>
          <w:cantSplit/>
        </w:trPr>
        <w:tc>
          <w:tcPr>
            <w:tcW w:w="1474" w:type="dxa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2027</w:t>
            </w:r>
          </w:p>
        </w:tc>
        <w:tc>
          <w:tcPr>
            <w:tcW w:w="2948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R$ 1.511.500,00</w:t>
            </w:r>
          </w:p>
        </w:tc>
      </w:tr>
      <w:tr>
        <w:trPr>
          <w:cantSplit/>
        </w:trPr>
        <w:tc>
          <w:tcPr>
            <w:tcW w:w="1474" w:type="dxa"/>
            <w:vAlign w:val="center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2028</w:t>
            </w:r>
          </w:p>
        </w:tc>
        <w:tc>
          <w:tcPr>
            <w:tcW w:w="2948" w:type="dxa"/>
            <w:vAlign w:val="center"/>
            <w:shd w:val="clear" w:color="auto" w:fill="F2F2F2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R$ 1.570.000,00</w:t>
            </w:r>
          </w:p>
        </w:tc>
      </w:tr>
      <w:tr>
        <w:trPr>
          <w:cantSplit/>
        </w:trPr>
        <w:tc>
          <w:tcPr>
            <w:tcW w:w="1474" w:type="dxa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2029</w:t>
            </w:r>
          </w:p>
        </w:tc>
        <w:tc>
          <w:tcPr>
            <w:tcW w:w="2948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R$ 1.468.500,00</w:t>
            </w:r>
          </w:p>
        </w:tc>
      </w:tr>
      <w:tr>
        <w:trPr>
          <w:cantSplit/>
        </w:trPr>
        <w:tc>
          <w:tcPr>
            <w:tcW w:w="1474" w:type="dxa"/>
            <w:vAlign w:val="center"/>
            <w:shd w:val="clear" w:color="auto" w:fill="0070C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Total</w:t>
            </w:r>
          </w:p>
        </w:tc>
        <w:tc>
          <w:tcPr>
            <w:tcW w:w="2948" w:type="dxa"/>
            <w:vAlign w:val="center"/>
            <w:shd w:val="clear" w:color="auto" w:fill="0070C0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R$ 4.550.000,00</w:t>
            </w:r>
          </w:p>
        </w:tc>
      </w:tr>
    </w:tbl>
    <w:p>
      <w:pPr>
        <w:spacing w:after="160"/>
        <w:jc w:val="both"/>
      </w:pP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Indicador: disponibilidade igual ou superior a 99% por sistema crítico, medida mensalmente e consolidada anualmente (excluídas manutenções programadas e comunicadas).</w:t>
      </w: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2F5496"/>
          <w:sz w:val="24"/>
        </w:rPr>
        <w:t>04. Eliminar o uso de controles paralelos no fluxo de gestão de projetos ponta a ponta.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Substituição de planilhas, e-mails e similares por rotinas integradas ao sistema corporativo, de ponta a ponta no fluxo de gestão de projetos ponta a ponta. Período de maio/2027 a dezembro/2029.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Investimento previsto de R$ 0,00. As rotinas que substituem as planilhas e os e-mails são as próprias funcionalidades do GPF 2.0, já custeadas na atividade 01, de modo que nada é adquirido especificamente para esta atividade. O esforço é de mapeamento, transição e descontinuação dos controles paralelos, conduzido pela equipe de TI em conjunto com os gestores das áreas, com pessoal já alocado.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Indicador: zero rotinas operacionais que ainda utilizem planilhas, e-mail ou similares até 2029.</w:t>
      </w: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RESUMO DAS ATIVIDADES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34" w:type="dxa"/>
          <w:left w:w="57" w:type="dxa"/>
          <w:bottom w:w="34" w:type="dxa"/>
          <w:right w:w="57" w:type="dxa"/>
        </w:tblCellMar>
      </w:tblPr>
      <w:tblGrid>
        <w:gridCol w:w="488"/>
        <w:gridCol w:w="3356"/>
        <w:gridCol w:w="2925"/>
        <w:gridCol w:w="652"/>
        <w:gridCol w:w="811"/>
        <w:gridCol w:w="1406"/>
      </w:tblGrid>
      <w:tr>
        <w:trPr>
          <w:cantSplit/>
        </w:trPr>
        <w:tc>
          <w:tcPr>
            <w:tcW w:w="488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Item</w:t>
            </w:r>
          </w:p>
        </w:tc>
        <w:tc>
          <w:tcPr>
            <w:tcW w:w="3356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Descrição</w:t>
            </w:r>
          </w:p>
        </w:tc>
        <w:tc>
          <w:tcPr>
            <w:tcW w:w="2925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Resultados Esperados</w:t>
            </w:r>
          </w:p>
        </w:tc>
        <w:tc>
          <w:tcPr>
            <w:tcW w:w="652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Início</w:t>
            </w:r>
          </w:p>
        </w:tc>
        <w:tc>
          <w:tcPr>
            <w:tcW w:w="811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Término</w:t>
            </w:r>
          </w:p>
        </w:tc>
        <w:tc>
          <w:tcPr>
            <w:tcW w:w="1406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Responsável</w:t>
            </w:r>
          </w:p>
        </w:tc>
      </w:tr>
      <w:tr>
        <w:trPr>
          <w:cantSplit/>
        </w:trPr>
        <w:tc>
          <w:tcPr>
            <w:tcW w:w="488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01</w:t>
            </w:r>
          </w:p>
        </w:tc>
        <w:tc>
          <w:tcPr>
            <w:tcW w:w="3356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Desenvolver e implementar o GPF 2.0 como plataforma corporativa única, modular e escalável.</w:t>
            </w:r>
          </w:p>
        </w:tc>
        <w:tc>
          <w:tcPr>
            <w:tcW w:w="2925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100% dos projetos ativos operando na plataforma e 100% do escopo desenvolvido.</w:t>
            </w:r>
          </w:p>
        </w:tc>
        <w:tc>
          <w:tcPr>
            <w:tcW w:w="652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jul/26</w:t>
            </w:r>
          </w:p>
        </w:tc>
        <w:tc>
          <w:tcPr>
            <w:tcW w:w="811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dez/29</w:t>
            </w:r>
          </w:p>
        </w:tc>
        <w:tc>
          <w:tcPr>
            <w:tcW w:w="1406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8"/>
              </w:rPr>
              <w:t>André Oliveira</w:t>
            </w:r>
          </w:p>
        </w:tc>
      </w:tr>
      <w:tr>
        <w:trPr>
          <w:cantSplit/>
        </w:trPr>
        <w:tc>
          <w:tcPr>
            <w:tcW w:w="488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02</w:t>
            </w:r>
          </w:p>
        </w:tc>
        <w:tc>
          <w:tcPr>
            <w:tcW w:w="3356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Integrar os agentes de inteligência artificial aos sistemas GPF 1.0 e GPF 2.0.</w:t>
            </w:r>
          </w:p>
        </w:tc>
        <w:tc>
          <w:tcPr>
            <w:tcW w:w="2925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100% dos agentes de IA em produção integrados aos sistemas corporativos.</w:t>
            </w:r>
          </w:p>
        </w:tc>
        <w:tc>
          <w:tcPr>
            <w:tcW w:w="652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jul/26</w:t>
            </w:r>
          </w:p>
        </w:tc>
        <w:tc>
          <w:tcPr>
            <w:tcW w:w="811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mar/28</w:t>
            </w:r>
          </w:p>
        </w:tc>
        <w:tc>
          <w:tcPr>
            <w:tcW w:w="1406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8"/>
              </w:rPr>
              <w:t>André Oliveira</w:t>
            </w:r>
          </w:p>
        </w:tc>
      </w:tr>
      <w:tr>
        <w:trPr>
          <w:cantSplit/>
        </w:trPr>
        <w:tc>
          <w:tcPr>
            <w:tcW w:w="488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03</w:t>
            </w:r>
          </w:p>
        </w:tc>
        <w:tc>
          <w:tcPr>
            <w:tcW w:w="3356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Garantir a máxima disponibilidade dos sistemas.</w:t>
            </w:r>
          </w:p>
        </w:tc>
        <w:tc>
          <w:tcPr>
            <w:tcW w:w="2925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Disponibilidade ≥ 99% por sistema crítico.</w:t>
            </w:r>
          </w:p>
        </w:tc>
        <w:tc>
          <w:tcPr>
            <w:tcW w:w="652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jun/26</w:t>
            </w:r>
          </w:p>
        </w:tc>
        <w:tc>
          <w:tcPr>
            <w:tcW w:w="811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dez/29</w:t>
            </w:r>
          </w:p>
        </w:tc>
        <w:tc>
          <w:tcPr>
            <w:tcW w:w="1406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8"/>
              </w:rPr>
              <w:t>André Oliveira</w:t>
            </w:r>
          </w:p>
        </w:tc>
      </w:tr>
      <w:tr>
        <w:trPr>
          <w:cantSplit/>
        </w:trPr>
        <w:tc>
          <w:tcPr>
            <w:tcW w:w="488" w:type="dxa"/>
            <w:vAlign w:val="top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04</w:t>
            </w:r>
          </w:p>
        </w:tc>
        <w:tc>
          <w:tcPr>
            <w:tcW w:w="3356" w:type="dxa"/>
            <w:vAlign w:val="top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Eliminar o uso de controles paralelos no fluxo de gestão de projetos ponta a ponta.</w:t>
            </w:r>
          </w:p>
        </w:tc>
        <w:tc>
          <w:tcPr>
            <w:tcW w:w="2925" w:type="dxa"/>
            <w:vAlign w:val="top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Zero rotinas operacionais utilizando planilhas, e-mail ou similares.</w:t>
            </w:r>
          </w:p>
        </w:tc>
        <w:tc>
          <w:tcPr>
            <w:tcW w:w="652" w:type="dxa"/>
            <w:vAlign w:val="top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mai/27</w:t>
            </w:r>
          </w:p>
        </w:tc>
        <w:tc>
          <w:tcPr>
            <w:tcW w:w="811" w:type="dxa"/>
            <w:vAlign w:val="top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dez/29</w:t>
            </w:r>
          </w:p>
        </w:tc>
        <w:tc>
          <w:tcPr>
            <w:tcW w:w="1406" w:type="dxa"/>
            <w:vAlign w:val="top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8"/>
              </w:rPr>
              <w:t>André Oliveira e Gestores das áreas</w:t>
            </w:r>
          </w:p>
        </w:tc>
      </w:tr>
    </w:tbl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CRONOGRAMA FÍSICO-FINANCEIRO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3" w:space="0" w:color="BFBFBF"/>
          <w:left w:val="single" w:sz="3" w:space="0" w:color="BFBFBF"/>
          <w:bottom w:val="single" w:sz="3" w:space="0" w:color="BFBFBF"/>
          <w:right w:val="single" w:sz="3" w:space="0" w:color="BFBFBF"/>
          <w:insideH w:val="single" w:sz="3" w:space="0" w:color="BFBFBF"/>
          <w:insideV w:val="single" w:sz="3" w:space="0" w:color="BFBFBF"/>
        </w:tblBorders>
        <w:tblCellMar>
          <w:top w:w="34" w:type="dxa"/>
          <w:left w:w="23" w:type="dxa"/>
          <w:bottom w:w="34" w:type="dxa"/>
          <w:right w:w="23" w:type="dxa"/>
        </w:tblCellMar>
      </w:tblPr>
      <w:tblGrid>
        <w:gridCol w:w="283"/>
        <w:gridCol w:w="2438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rPr>
          <w:cantSplit/>
        </w:trPr>
        <w:tc>
          <w:tcPr>
            <w:gridSpan w:val="2"/>
            <w:tcW w:w="272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gridSpan w:val="3"/>
            <w:tcW w:w="1297" w:type="dxa"/>
            <w:vAlign w:val="center"/>
            <w:shd w:val="clear" w:color="auto" w:fill="0070C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2"/>
              </w:rPr>
              <w:t>2026</w:t>
            </w:r>
          </w:p>
        </w:tc>
        <w:tc>
          <w:tcPr>
            <w:gridSpan w:val="4"/>
            <w:tcW w:w="1729" w:type="dxa"/>
            <w:vAlign w:val="center"/>
            <w:shd w:val="clear" w:color="auto" w:fill="0070C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2"/>
              </w:rPr>
              <w:t>2027</w:t>
            </w:r>
          </w:p>
        </w:tc>
        <w:tc>
          <w:tcPr>
            <w:gridSpan w:val="4"/>
            <w:tcW w:w="1729" w:type="dxa"/>
            <w:vAlign w:val="center"/>
            <w:shd w:val="clear" w:color="auto" w:fill="0070C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2"/>
              </w:rPr>
              <w:t>2028</w:t>
            </w:r>
          </w:p>
        </w:tc>
        <w:tc>
          <w:tcPr>
            <w:gridSpan w:val="4"/>
            <w:tcW w:w="1729" w:type="dxa"/>
            <w:vAlign w:val="center"/>
            <w:shd w:val="clear" w:color="auto" w:fill="0070C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2"/>
              </w:rPr>
              <w:t>2029</w:t>
            </w:r>
          </w:p>
        </w:tc>
        <w:tc>
          <w:tcPr>
            <w:tcW w:w="432" w:type="dxa"/>
            <w:vAlign w:val="center"/>
            <w:shd w:val="clear" w:color="auto" w:fill="0070C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2"/>
              </w:rPr>
              <w:t>2030</w:t>
            </w:r>
          </w:p>
        </w:tc>
      </w:tr>
      <w:tr>
        <w:trPr>
          <w:cantSplit/>
        </w:trPr>
        <w:tc>
          <w:tcPr>
            <w:gridSpan w:val="2"/>
            <w:tcW w:w="2721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2"/>
              </w:rPr>
              <w:t>Atividade</w:t>
            </w:r>
          </w:p>
        </w:tc>
        <w:tc>
          <w:tcPr>
            <w:tcW w:w="432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2º tri</w:t>
            </w:r>
          </w:p>
        </w:tc>
        <w:tc>
          <w:tcPr>
            <w:tcW w:w="432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3º tri</w:t>
            </w:r>
          </w:p>
        </w:tc>
        <w:tc>
          <w:tcPr>
            <w:tcW w:w="432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4º tri</w:t>
            </w:r>
          </w:p>
        </w:tc>
        <w:tc>
          <w:tcPr>
            <w:tcW w:w="432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1º tri</w:t>
            </w:r>
          </w:p>
        </w:tc>
        <w:tc>
          <w:tcPr>
            <w:tcW w:w="432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2º tri</w:t>
            </w:r>
          </w:p>
        </w:tc>
        <w:tc>
          <w:tcPr>
            <w:tcW w:w="432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3º tri</w:t>
            </w:r>
          </w:p>
        </w:tc>
        <w:tc>
          <w:tcPr>
            <w:tcW w:w="432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4º tri</w:t>
            </w:r>
          </w:p>
        </w:tc>
        <w:tc>
          <w:tcPr>
            <w:tcW w:w="432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1º tri</w:t>
            </w:r>
          </w:p>
        </w:tc>
        <w:tc>
          <w:tcPr>
            <w:tcW w:w="432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2º tri</w:t>
            </w:r>
          </w:p>
        </w:tc>
        <w:tc>
          <w:tcPr>
            <w:tcW w:w="432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3º tri</w:t>
            </w:r>
          </w:p>
        </w:tc>
        <w:tc>
          <w:tcPr>
            <w:tcW w:w="432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4º tri</w:t>
            </w:r>
          </w:p>
        </w:tc>
        <w:tc>
          <w:tcPr>
            <w:tcW w:w="432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1º tri</w:t>
            </w:r>
          </w:p>
        </w:tc>
        <w:tc>
          <w:tcPr>
            <w:tcW w:w="432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2º tri</w:t>
            </w:r>
          </w:p>
        </w:tc>
        <w:tc>
          <w:tcPr>
            <w:tcW w:w="432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3º tri</w:t>
            </w:r>
          </w:p>
        </w:tc>
        <w:tc>
          <w:tcPr>
            <w:tcW w:w="432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4º tri</w:t>
            </w:r>
          </w:p>
        </w:tc>
        <w:tc>
          <w:tcPr>
            <w:tcW w:w="432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1º tri</w:t>
            </w:r>
          </w:p>
        </w:tc>
      </w:tr>
      <w:tr>
        <w:trPr>
          <w:cantSplit/>
        </w:trPr>
        <w:tc>
          <w:tcPr>
            <w:gridSpan w:val="2"/>
            <w:tcW w:w="2721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2"/>
              </w:rPr>
              <w:t>01 - Desenvolver e implementar o GPF 2.0</w:t>
            </w:r>
          </w:p>
        </w:tc>
        <w:tc>
          <w:tcPr>
            <w:tcW w:w="43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gridSpan w:val="14"/>
            <w:tcW w:w="6052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2"/>
              </w:rPr>
              <w:t>R$ 2.832.967,52</w:t>
            </w:r>
          </w:p>
        </w:tc>
        <w:tc>
          <w:tcPr>
            <w:tcW w:w="43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8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2438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a) Desenvolvimento: manutenção do espaço de trabalho</w:t>
            </w:r>
          </w:p>
        </w:tc>
        <w:tc>
          <w:tcPr>
            <w:gridSpan w:val="3"/>
            <w:tcW w:w="129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gridSpan w:val="4"/>
            <w:tcW w:w="1729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R$ 30.000,00</w:t>
            </w:r>
          </w:p>
        </w:tc>
        <w:tc>
          <w:tcPr>
            <w:gridSpan w:val="9"/>
            <w:tcW w:w="389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8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2438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b) Desenvolvimento: lanche e utilidades da equipe terceirizada</w:t>
            </w:r>
          </w:p>
        </w:tc>
        <w:tc>
          <w:tcPr>
            <w:tcW w:w="43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gridSpan w:val="8"/>
            <w:tcW w:w="3458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R$ 202.967,52</w:t>
            </w:r>
          </w:p>
        </w:tc>
        <w:tc>
          <w:tcPr>
            <w:gridSpan w:val="7"/>
            <w:tcW w:w="302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8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2438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c) Implantação</w:t>
            </w:r>
          </w:p>
        </w:tc>
        <w:tc>
          <w:tcPr>
            <w:gridSpan w:val="11"/>
            <w:tcW w:w="4755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gridSpan w:val="4"/>
            <w:tcW w:w="1729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  <w:t>R$ 2.600.000,00</w:t>
            </w:r>
          </w:p>
        </w:tc>
        <w:tc>
          <w:tcPr>
            <w:tcW w:w="43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gridSpan w:val="2"/>
            <w:tcW w:w="2721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2"/>
              </w:rPr>
              <w:t>02 - Integrar agentes de IA ao GPF 1.0 e 2.0</w:t>
            </w:r>
          </w:p>
        </w:tc>
        <w:tc>
          <w:tcPr>
            <w:tcW w:w="43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gridSpan w:val="7"/>
            <w:tcW w:w="3026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2"/>
              </w:rPr>
              <w:t>R$ 0,00</w:t>
            </w:r>
          </w:p>
        </w:tc>
        <w:tc>
          <w:tcPr>
            <w:tcW w:w="43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43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43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43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43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43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43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43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gridSpan w:val="2"/>
            <w:tcW w:w="2721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2"/>
              </w:rPr>
              <w:t>03 - Garantir máxima disponibilidade dos sistemas</w:t>
            </w:r>
          </w:p>
        </w:tc>
        <w:tc>
          <w:tcPr>
            <w:gridSpan w:val="3"/>
            <w:tcW w:w="1297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gridSpan w:val="4"/>
            <w:tcW w:w="1729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2"/>
              </w:rPr>
              <w:t>R$ 1.511.500,00</w:t>
            </w:r>
          </w:p>
        </w:tc>
        <w:tc>
          <w:tcPr>
            <w:gridSpan w:val="4"/>
            <w:tcW w:w="1729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2"/>
              </w:rPr>
              <w:t>R$ 1.570.000,00</w:t>
            </w:r>
          </w:p>
        </w:tc>
        <w:tc>
          <w:tcPr>
            <w:gridSpan w:val="4"/>
            <w:tcW w:w="1729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2"/>
              </w:rPr>
              <w:t>R$ 1.468.500,00</w:t>
            </w:r>
          </w:p>
        </w:tc>
        <w:tc>
          <w:tcPr>
            <w:tcW w:w="432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gridSpan w:val="2"/>
            <w:tcW w:w="2721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2"/>
              </w:rPr>
              <w:t>04 - Eliminar uso de controles paralelos</w:t>
            </w:r>
          </w:p>
        </w:tc>
        <w:tc>
          <w:tcPr>
            <w:tcW w:w="43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43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43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43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gridSpan w:val="12"/>
            <w:tcW w:w="5187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2"/>
              </w:rPr>
              <w:t>R$ 0,00</w:t>
            </w:r>
          </w:p>
        </w:tc>
      </w:tr>
      <w:tr>
        <w:trPr>
          <w:cantSplit/>
        </w:trPr>
        <w:tc>
          <w:tcPr>
            <w:gridSpan w:val="2"/>
            <w:tcW w:w="2721" w:type="dxa"/>
            <w:vAlign w:val="center"/>
            <w:shd w:val="clear" w:color="auto" w:fill="0070C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2"/>
              </w:rPr>
              <w:t>TOTAL</w:t>
            </w:r>
          </w:p>
        </w:tc>
        <w:tc>
          <w:tcPr>
            <w:gridSpan w:val="16"/>
            <w:tcW w:w="6917" w:type="dxa"/>
            <w:vAlign w:val="center"/>
            <w:shd w:val="clear" w:color="auto" w:fill="0070C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2"/>
              </w:rPr>
              <w:t>R$ 7.382.967,52 (parcial: trechos sem valor ainda a definir)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134" w:right="1134" w:bottom="1417" w:left="1134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left"/>
    </w:pPr>
    <w:r/>
    <w:r>
      <w:pict>
        <v:rect id="tarja1026" o:spid="_x0000_s1027" style="position:absolute;margin-left:0;margin-top:0;width:595.30pt;height:65.2pt;z-index:-251658230;mso-position-horizontal:center;mso-position-horizontal-relative:page;mso-position-vertical:bottom;mso-position-vertical-relative:page" fillcolor="#ffffff" stroked="f" o:allowincell="f">
          <w10:wrap anchorx="page" anchory="page"/>
        </v:rect>
      </w:pict>
    </w:r>
    <w: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rodape1027" o:spid="_x0000_s1028" type="#_x0000_t75" style="position:absolute;margin-left:0;margin-top:0;width:510.00pt;height:54.86pt;z-index:-251658220;mso-position-horizontal:center;mso-position-horizontal-relative:page;mso-position-vertical:bottom;mso-position-vertical-relative:page" o:allowincell="f">
          <v:imagedata r:id="rId1" o:title="rodape_fundep"/>
          <w10:wrap anchorx="page" anchory="page"/>
        </v:shape>
      </w:pic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left"/>
    </w:pPr>
    <w:r/>
    <w:r>
      <w:pict>
        <v:rect id="tarja1028" o:spid="_x0000_s1029" style="position:absolute;margin-left:0;margin-top:0;width:595.30pt;height:65.2pt;z-index:-251658230;mso-position-horizontal:center;mso-position-horizontal-relative:page;mso-position-vertical:bottom;mso-position-vertical-relative:page" fillcolor="#ffffff" stroked="f" o:allowincell="f">
          <w10:wrap anchorx="page" anchory="page"/>
        </v:rect>
      </w:pict>
    </w:r>
    <w: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rodape1029" o:spid="_x0000_s1030" type="#_x0000_t75" style="position:absolute;margin-left:0;margin-top:0;width:510.00pt;height:54.86pt;z-index:-251658220;mso-position-horizontal:center;mso-position-horizontal-relative:page;mso-position-vertical:bottom;mso-position-vertical-relative:page" o:allowincell="f">
          <v:imagedata r:id="rId1" o:title="rodape_fundep"/>
          <w10:wrap anchorx="page" anchory="page"/>
        </v:shape>
      </w:pic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/>
    <w:r>
      <w:rPr>
        <w:rFonts w:ascii="Times New Roman" w:hAnsi="Times New Roman" w:cs="Times New Roman" w:eastAsia="Times New Roman"/>
        <w:b w:val="0"/>
        <w:i w:val="0"/>
        <w:sz w:val="20"/>
      </w:rPr>
      <w:t xml:space="preserve">Página </w:t>
    </w: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  <w: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timbrado1024" o:spid="_x0000_s1025" type="#_x0000_t75" style="position:absolute;margin-left:0;margin-top:0;width:595.30pt;height:841.90pt;z-index:-251658240;mso-position-horizontal:center;mso-position-horizontal-relative:page;mso-position-vertical:center;mso-position-vertical-relative:page" o:allowincell="f">
          <v:imagedata r:id="rId1" o:title="timbrado_a4"/>
          <w10:wrap anchorx="page" anchory="page"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/>
    <w: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timbrado1025" o:spid="_x0000_s1026" type="#_x0000_t75" style="position:absolute;margin-left:0;margin-top:0;width:595.30pt;height:841.90pt;z-index:-251658240;mso-position-horizontal:center;mso-position-horizontal-relative:page;mso-position-vertical:center;mso-position-vertical-relative:page" o:allowincell="f">
          <v:imagedata r:id="rId1" o:title="timbrado_a4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59" w:lineRule="auto"/>
      <w:jc w:val="both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left"/>
    </w:pPr>
    <w:rPr>
      <w:rFonts w:ascii="Times New Roman" w:hAnsi="Times New Roman" w:cs="Times New Roman" w:eastAsia="Times New Roma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left"/>
    </w:pPr>
    <w:rPr>
      <w:rFonts w:ascii="Times New Roman" w:hAnsi="Times New Roman" w:cs="Times New Roman" w:eastAsia="Times New Roman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