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pPr>
      <w:r>
        <w:rPr>
          <w:rFonts w:ascii="Aptos Display" w:hAnsi="Aptos Display"/>
          <w:b/>
          <w:color w:val="0F766E"/>
          <w:sz w:val="68"/>
        </w:rPr>
        <w:t>HEATGUARD AI</w:t>
      </w:r>
    </w:p>
    <w:p>
      <w:pPr>
        <w:spacing w:after="280"/>
      </w:pPr>
      <w:r>
        <w:rPr>
          <w:rFonts w:ascii="Aptos Display" w:hAnsi="Aptos Display"/>
          <w:b/>
          <w:color w:val="142B4A"/>
          <w:sz w:val="48"/>
        </w:rPr>
        <w:t>Historical Heatwave Risk</w:t>
        <w:br/>
        <w:t>&amp; Stakeholder Advisory Prototype</w:t>
      </w:r>
    </w:p>
    <w:p>
      <w:pPr>
        <w:spacing w:after="440" w:line="259" w:lineRule="auto"/>
      </w:pPr>
      <w:r>
        <w:t>A showcase of the implemented data pipeline, machine-learning inference, GenAI advisory experience, and Flask application.</w:t>
      </w:r>
    </w:p>
    <w:tbl>
      <w:tblPr>
        <w:tblW w:type="auto" w:w="0"/>
        <w:tblLook w:firstColumn="1" w:firstRow="1" w:lastColumn="0" w:lastRow="0" w:noHBand="0" w:noVBand="1" w:val="04A0"/>
      </w:tblPr>
      <w:tblGrid>
        <w:gridCol w:w="9663"/>
      </w:tblGrid>
      <w:tr>
        <w:tc>
          <w:tcPr>
            <w:tcW w:type="dxa" w:w="9663"/>
            <w:shd w:fill="E6F4F1"/>
          </w:tcPr>
          <w:p>
            <w:pPr>
              <w:spacing w:after="60"/>
            </w:pPr>
            <w:r/>
            <w:r>
              <w:rPr>
                <w:b/>
                <w:color w:val="0F766E"/>
              </w:rPr>
              <w:t>PROJECT AT A GLANCE</w:t>
            </w:r>
          </w:p>
          <w:p>
            <w:pPr>
              <w:spacing w:after="80"/>
            </w:pPr>
            <w:r>
              <w:rPr>
                <w:color w:val="1F2937"/>
                <w:sz w:val="18"/>
              </w:rPr>
              <w:t>187,387 historical daily records  •  7 Indian cities  •  45 engineered model inputs  •  next-day risk estimate  •  4 advisory audiences</w:t>
            </w:r>
          </w:p>
        </w:tc>
      </w:tr>
    </w:tbl>
    <w:p>
      <w:pPr>
        <w:spacing w:after="20"/>
      </w:pPr>
    </w:p>
    <w:p>
      <w:pPr>
        <w:spacing w:before="480"/>
      </w:pPr>
      <w:r>
        <w:rPr>
          <w:rFonts w:ascii="Aptos" w:hAnsi="Aptos"/>
          <w:b/>
          <w:color w:val="142B4A"/>
          <w:sz w:val="21"/>
        </w:rPr>
        <w:t>Prepared 9 October 2026</w:t>
      </w:r>
      <w:r>
        <w:br/>
      </w:r>
      <w:r>
        <w:rPr>
          <w:rFonts w:ascii="Aptos" w:hAnsi="Aptos"/>
          <w:b/>
          <w:color w:val="142B4A"/>
          <w:sz w:val="21"/>
        </w:rPr>
        <w:t>Class: LY AI-DS B3</w:t>
      </w:r>
      <w:r>
        <w:br/>
      </w:r>
      <w:r>
        <w:rPr>
          <w:rFonts w:ascii="Aptos" w:hAnsi="Aptos"/>
          <w:b w:val="0"/>
          <w:color w:val="475569"/>
          <w:sz w:val="20"/>
        </w:rPr>
      </w:r>
      <w:r>
        <w:br/>
      </w:r>
      <w:r>
        <w:rPr>
          <w:rFonts w:ascii="Aptos" w:hAnsi="Aptos"/>
          <w:b/>
          <w:color w:val="142B4A"/>
          <w:sz w:val="21"/>
        </w:rPr>
        <w:t>Project Team</w:t>
      </w:r>
      <w:r>
        <w:br/>
      </w:r>
      <w:r>
        <w:rPr>
          <w:rFonts w:ascii="Aptos" w:hAnsi="Aptos"/>
          <w:b w:val="0"/>
          <w:color w:val="475569"/>
          <w:sz w:val="20"/>
        </w:rPr>
        <w:t>Sohom Mallick - Roll No. 16014223083</w:t>
      </w:r>
      <w:r>
        <w:br/>
      </w:r>
      <w:r>
        <w:rPr>
          <w:rFonts w:ascii="Aptos" w:hAnsi="Aptos"/>
          <w:b w:val="0"/>
          <w:color w:val="475569"/>
          <w:sz w:val="20"/>
        </w:rPr>
        <w:t>Shivam Naik - Roll No. 16014223074</w:t>
      </w:r>
      <w:r>
        <w:br/>
      </w:r>
      <w:r>
        <w:rPr>
          <w:rFonts w:ascii="Aptos" w:hAnsi="Aptos"/>
          <w:b w:val="0"/>
          <w:color w:val="475569"/>
          <w:sz w:val="20"/>
        </w:rPr>
        <w:t>Anvita Choudhary - Roll No. 16014223108</w:t>
      </w:r>
    </w:p>
    <w:p>
      <w:r>
        <w:br w:type="page"/>
      </w:r>
    </w:p>
    <w:p>
      <w:pPr>
        <w:pStyle w:val="Heading1"/>
        <w:keepNext/>
      </w:pPr>
      <w:r>
        <w:t>Contents</w:t>
      </w:r>
    </w:p>
    <w:p>
      <w:pPr>
        <w:pStyle w:val="ListBullet"/>
        <w:spacing w:after="40"/>
      </w:pPr>
      <w:r>
        <w:t>1. Executive summary</w:t>
      </w:r>
    </w:p>
    <w:p>
      <w:pPr>
        <w:pStyle w:val="ListBullet"/>
        <w:spacing w:after="40"/>
      </w:pPr>
      <w:r>
        <w:t>2. The project and the people it serves</w:t>
      </w:r>
    </w:p>
    <w:p>
      <w:pPr>
        <w:pStyle w:val="ListBullet"/>
        <w:spacing w:after="40"/>
      </w:pPr>
      <w:r>
        <w:t>3. Historical data and preparation</w:t>
      </w:r>
    </w:p>
    <w:p>
      <w:pPr>
        <w:pStyle w:val="ListBullet"/>
        <w:spacing w:after="40"/>
      </w:pPr>
      <w:r>
        <w:t>4. Prediction model and measured results</w:t>
      </w:r>
    </w:p>
    <w:p>
      <w:pPr>
        <w:pStyle w:val="ListBullet"/>
        <w:spacing w:after="40"/>
      </w:pPr>
      <w:r>
        <w:t>5. GenAI advisory and chat experience</w:t>
      </w:r>
    </w:p>
    <w:p>
      <w:pPr>
        <w:pStyle w:val="ListBullet"/>
        <w:spacing w:after="40"/>
      </w:pPr>
      <w:r>
        <w:t>6. Application features and user journey</w:t>
      </w:r>
    </w:p>
    <w:p>
      <w:pPr>
        <w:pStyle w:val="ListBullet"/>
        <w:spacing w:after="40"/>
      </w:pPr>
      <w:r>
        <w:t>7. Integration checks and current scope</w:t>
      </w:r>
    </w:p>
    <w:p>
      <w:pPr>
        <w:pStyle w:val="ListBullet"/>
        <w:spacing w:after="40"/>
      </w:pPr>
      <w:r>
        <w:t>8. Project files and source notes</w:t>
      </w:r>
    </w:p>
    <w:p>
      <w:pPr>
        <w:pStyle w:val="Heading1"/>
        <w:keepNext/>
      </w:pPr>
      <w:r>
        <w:t>1. Executive summary</w:t>
      </w:r>
    </w:p>
    <w:p>
      <w:pPr>
        <w:spacing w:after="100" w:line="259" w:lineRule="auto"/>
      </w:pPr>
      <w:r>
        <w:t>HeatGuard AI is a local Flask application that uses historical daily weather records for seven Indian cities to estimate next-day heatwave risk and show relevant forecast context. The project combines data cleaning, calendar-aware feature engineering, a saved scikit-learn model, historical climate summaries, audience-specific advisory content, a chat interface, and downloadable advisory PDFs.</w:t>
      </w:r>
    </w:p>
    <w:p>
      <w:pPr>
        <w:spacing w:after="100" w:line="259" w:lineRule="auto"/>
      </w:pPr>
      <w:r>
        <w:t>This report describes what is implemented and tested in the project. The dataset ends on 21 June 2024, so the application demonstrates historical-data predictions rather than current live weather forecasting. It is not an official warning service or an emergency-response channel.</w:t>
      </w:r>
    </w:p>
    <w:tbl>
      <w:tblPr>
        <w:tblW w:type="auto" w:w="0"/>
        <w:tblLook w:firstColumn="1" w:firstRow="1" w:lastColumn="0" w:lastRow="0" w:noHBand="0" w:noVBand="1" w:val="04A0"/>
      </w:tblPr>
      <w:tblGrid>
        <w:gridCol w:w="9663"/>
      </w:tblGrid>
      <w:tr>
        <w:tc>
          <w:tcPr>
            <w:tcW w:type="dxa" w:w="9663"/>
            <w:shd w:fill="E6F4F1"/>
          </w:tcPr>
          <w:p>
            <w:pPr>
              <w:spacing w:after="60"/>
            </w:pPr>
            <w:r/>
            <w:r>
              <w:rPr>
                <w:b/>
                <w:color w:val="0F766E"/>
              </w:rPr>
              <w:t>RECOMPUTED HELD-OUT TEST RESULTS</w:t>
            </w:r>
          </w:p>
          <w:p>
            <w:pPr>
              <w:spacing w:after="80"/>
            </w:pPr>
            <w:r>
              <w:rPr>
                <w:color w:val="1F2937"/>
                <w:sz w:val="18"/>
              </w:rPr>
              <w:t>From the saved runtime model and the current feature pipeline on 8,120 observations in the 2021–2024 test partition: 96.18% accuracy, 94.38% balanced accuracy, 0.7294 PR-AUC, and 1.070 °C departure MAE. The saved model uses a 0.35 decision threshold.</w:t>
            </w:r>
          </w:p>
        </w:tc>
      </w:tr>
    </w:tbl>
    <w:p>
      <w:pPr>
        <w:spacing w:after="20"/>
      </w:pPr>
    </w:p>
    <w:p>
      <w:pPr>
        <w:pStyle w:val="Heading1"/>
        <w:keepNext/>
      </w:pPr>
      <w:r>
        <w:t>2. The project and the people it serves</w:t>
      </w:r>
    </w:p>
    <w:p>
      <w:pPr>
        <w:spacing w:after="100" w:line="259" w:lineRule="auto"/>
      </w:pPr>
      <w:r>
        <w:t>Extreme heat can affect health, outdoor work, agriculture, and city services. HeatGuard AI presents a city/date-specific risk estimate and organizes explanatory content around four intended audiences. The personas change the advisory emphasis; they do not change the prediction.</w:t>
      </w:r>
    </w:p>
    <w:tbl>
      <w:tblPr>
        <w:tblStyle w:val="TableGrid"/>
        <w:tblW w:type="auto" w:w="0"/>
        <w:jc w:val="center"/>
        <w:tblLook w:firstColumn="1" w:firstRow="1" w:lastColumn="0" w:lastRow="0" w:noHBand="0" w:noVBand="1" w:val="04A0"/>
      </w:tblPr>
      <w:tblGrid>
        <w:gridCol w:w="4831"/>
        <w:gridCol w:w="4831"/>
      </w:tblGrid>
      <w:tr>
        <w:tc>
          <w:tcPr>
            <w:tcW w:type="dxa" w:w="4831"/>
            <w:shd w:fill="142B4A"/>
            <w:vAlign w:val="center"/>
          </w:tcPr>
          <w:p>
            <w:r>
              <w:rPr>
                <w:b/>
                <w:color w:val="FFFFFF"/>
                <w:sz w:val="17"/>
              </w:rPr>
              <w:t>Audience</w:t>
            </w:r>
          </w:p>
        </w:tc>
        <w:tc>
          <w:tcPr>
            <w:tcW w:type="dxa" w:w="4831"/>
            <w:shd w:fill="142B4A"/>
            <w:vAlign w:val="center"/>
          </w:tcPr>
          <w:p>
            <w:r>
              <w:rPr>
                <w:b/>
                <w:color w:val="FFFFFF"/>
                <w:sz w:val="17"/>
              </w:rPr>
              <w:t>Advisory emphasis in the application</w:t>
            </w:r>
          </w:p>
        </w:tc>
      </w:tr>
      <w:tr>
        <w:tc>
          <w:tcPr>
            <w:tcW w:type="dxa" w:w="4831"/>
            <w:vAlign w:val="center"/>
          </w:tcPr>
          <w:p>
            <w:pPr>
              <w:spacing w:after="20"/>
            </w:pPr>
            <w:r>
              <w:rPr>
                <w:color w:val="1F2937"/>
                <w:sz w:val="17"/>
              </w:rPr>
              <w:t>Citizen</w:t>
            </w:r>
          </w:p>
        </w:tc>
        <w:tc>
          <w:tcPr>
            <w:tcW w:type="dxa" w:w="4831"/>
            <w:vAlign w:val="center"/>
          </w:tcPr>
          <w:p>
            <w:pPr>
              <w:spacing w:after="20"/>
            </w:pPr>
            <w:r>
              <w:rPr>
                <w:color w:val="1F2937"/>
                <w:sz w:val="17"/>
              </w:rPr>
              <w:t>Hydration, sun exposure, cooling, and checking on vulnerable people.</w:t>
            </w:r>
          </w:p>
        </w:tc>
      </w:tr>
      <w:tr>
        <w:tc>
          <w:tcPr>
            <w:tcW w:type="dxa" w:w="4831"/>
            <w:vAlign w:val="center"/>
            <w:shd w:fill="F1F5F9"/>
          </w:tcPr>
          <w:p>
            <w:pPr>
              <w:spacing w:after="20"/>
            </w:pPr>
            <w:r>
              <w:rPr>
                <w:color w:val="1F2937"/>
                <w:sz w:val="17"/>
              </w:rPr>
              <w:t>Farmer</w:t>
            </w:r>
          </w:p>
        </w:tc>
        <w:tc>
          <w:tcPr>
            <w:tcW w:type="dxa" w:w="4831"/>
            <w:vAlign w:val="center"/>
            <w:shd w:fill="F1F5F9"/>
          </w:tcPr>
          <w:p>
            <w:pPr>
              <w:spacing w:after="20"/>
            </w:pPr>
            <w:r>
              <w:rPr>
                <w:color w:val="1F2937"/>
                <w:sz w:val="17"/>
              </w:rPr>
              <w:t>Field-work timing, irrigation, crop protection, and livestock care.</w:t>
            </w:r>
          </w:p>
        </w:tc>
      </w:tr>
      <w:tr>
        <w:tc>
          <w:tcPr>
            <w:tcW w:type="dxa" w:w="4831"/>
            <w:vAlign w:val="center"/>
          </w:tcPr>
          <w:p>
            <w:pPr>
              <w:spacing w:after="20"/>
            </w:pPr>
            <w:r>
              <w:rPr>
                <w:color w:val="1F2937"/>
                <w:sz w:val="17"/>
              </w:rPr>
              <w:t>Health Agency</w:t>
            </w:r>
          </w:p>
        </w:tc>
        <w:tc>
          <w:tcPr>
            <w:tcW w:type="dxa" w:w="4831"/>
            <w:vAlign w:val="center"/>
          </w:tcPr>
          <w:p>
            <w:pPr>
              <w:spacing w:after="20"/>
            </w:pPr>
            <w:r>
              <w:rPr>
                <w:color w:val="1F2937"/>
                <w:sz w:val="17"/>
              </w:rPr>
              <w:t>Preparedness, supplies, outreach, and readiness for heat-related demand.</w:t>
            </w:r>
          </w:p>
        </w:tc>
      </w:tr>
      <w:tr>
        <w:tc>
          <w:tcPr>
            <w:tcW w:type="dxa" w:w="4831"/>
            <w:vAlign w:val="center"/>
            <w:shd w:fill="F1F5F9"/>
          </w:tcPr>
          <w:p>
            <w:pPr>
              <w:spacing w:after="20"/>
            </w:pPr>
            <w:r>
              <w:rPr>
                <w:color w:val="1F2937"/>
                <w:sz w:val="17"/>
              </w:rPr>
              <w:t>Municipal Authority</w:t>
            </w:r>
          </w:p>
        </w:tc>
        <w:tc>
          <w:tcPr>
            <w:tcW w:type="dxa" w:w="4831"/>
            <w:vAlign w:val="center"/>
            <w:shd w:fill="F1F5F9"/>
          </w:tcPr>
          <w:p>
            <w:pPr>
              <w:spacing w:after="20"/>
            </w:pPr>
            <w:r>
              <w:rPr>
                <w:color w:val="1F2937"/>
                <w:sz w:val="17"/>
              </w:rPr>
              <w:t>Public cooling, water access, work schedules, and local services.</w:t>
            </w:r>
          </w:p>
        </w:tc>
      </w:tr>
    </w:tbl>
    <w:p>
      <w:pPr>
        <w:spacing w:after="20"/>
      </w:pPr>
    </w:p>
    <w:p>
      <w:pPr>
        <w:pStyle w:val="Heading1"/>
        <w:keepNext/>
      </w:pPr>
      <w:r>
        <w:t>3. Historical data and preparation</w:t>
      </w:r>
    </w:p>
    <w:p>
      <w:pPr>
        <w:spacing w:after="100" w:line="259" w:lineRule="auto"/>
      </w:pPr>
      <w:r>
        <w:t>Project data files identify the OpenCity Urban Data Portal as the source. The exact catalog record, dataset identifier, license, and retrieval date were not retained, so those details should be confirmed before external publication.</w:t>
      </w:r>
    </w:p>
    <w:tbl>
      <w:tblPr>
        <w:tblStyle w:val="TableGrid"/>
        <w:tblW w:type="auto" w:w="0"/>
        <w:jc w:val="center"/>
        <w:tblLook w:firstColumn="1" w:firstRow="1" w:lastColumn="0" w:lastRow="0" w:noHBand="0" w:noVBand="1" w:val="04A0"/>
      </w:tblPr>
      <w:tblGrid>
        <w:gridCol w:w="4831"/>
        <w:gridCol w:w="4831"/>
      </w:tblGrid>
      <w:tr>
        <w:tc>
          <w:tcPr>
            <w:tcW w:type="dxa" w:w="4831"/>
            <w:shd w:fill="142B4A"/>
            <w:vAlign w:val="center"/>
          </w:tcPr>
          <w:p>
            <w:r>
              <w:rPr>
                <w:b/>
                <w:color w:val="FFFFFF"/>
                <w:sz w:val="17"/>
              </w:rPr>
              <w:t>Data property</w:t>
            </w:r>
          </w:p>
        </w:tc>
        <w:tc>
          <w:tcPr>
            <w:tcW w:type="dxa" w:w="4831"/>
            <w:shd w:fill="142B4A"/>
            <w:vAlign w:val="center"/>
          </w:tcPr>
          <w:p>
            <w:r>
              <w:rPr>
                <w:b/>
                <w:color w:val="FFFFFF"/>
                <w:sz w:val="17"/>
              </w:rPr>
              <w:t>Recorded project value</w:t>
            </w:r>
          </w:p>
        </w:tc>
      </w:tr>
      <w:tr>
        <w:tc>
          <w:tcPr>
            <w:tcW w:type="dxa" w:w="4831"/>
            <w:vAlign w:val="center"/>
          </w:tcPr>
          <w:p>
            <w:pPr>
              <w:spacing w:after="20"/>
            </w:pPr>
            <w:r>
              <w:rPr>
                <w:color w:val="1F2937"/>
                <w:sz w:val="17"/>
              </w:rPr>
              <w:t>Observation period</w:t>
            </w:r>
          </w:p>
        </w:tc>
        <w:tc>
          <w:tcPr>
            <w:tcW w:type="dxa" w:w="4831"/>
            <w:vAlign w:val="center"/>
          </w:tcPr>
          <w:p>
            <w:pPr>
              <w:spacing w:after="20"/>
            </w:pPr>
            <w:r>
              <w:rPr>
                <w:color w:val="1F2937"/>
                <w:sz w:val="17"/>
              </w:rPr>
              <w:t>1951-01-01 through 2024-06-21.</w:t>
            </w:r>
          </w:p>
        </w:tc>
      </w:tr>
      <w:tr>
        <w:tc>
          <w:tcPr>
            <w:tcW w:type="dxa" w:w="4831"/>
            <w:vAlign w:val="center"/>
            <w:shd w:fill="F1F5F9"/>
          </w:tcPr>
          <w:p>
            <w:pPr>
              <w:spacing w:after="20"/>
            </w:pPr>
            <w:r>
              <w:rPr>
                <w:color w:val="1F2937"/>
                <w:sz w:val="17"/>
              </w:rPr>
              <w:t>Daily records</w:t>
            </w:r>
          </w:p>
        </w:tc>
        <w:tc>
          <w:tcPr>
            <w:tcW w:type="dxa" w:w="4831"/>
            <w:vAlign w:val="center"/>
            <w:shd w:fill="F1F5F9"/>
          </w:tcPr>
          <w:p>
            <w:pPr>
              <w:spacing w:after="20"/>
            </w:pPr>
            <w:r>
              <w:rPr>
                <w:color w:val="1F2937"/>
                <w:sz w:val="17"/>
              </w:rPr>
              <w:t>187,387 rows in the cleaned dataset.</w:t>
            </w:r>
          </w:p>
        </w:tc>
      </w:tr>
      <w:tr>
        <w:tc>
          <w:tcPr>
            <w:tcW w:type="dxa" w:w="4831"/>
            <w:vAlign w:val="center"/>
          </w:tcPr>
          <w:p>
            <w:pPr>
              <w:spacing w:after="20"/>
            </w:pPr>
            <w:r>
              <w:rPr>
                <w:color w:val="1F2937"/>
                <w:sz w:val="17"/>
              </w:rPr>
              <w:t>Cities</w:t>
            </w:r>
          </w:p>
        </w:tc>
        <w:tc>
          <w:tcPr>
            <w:tcW w:type="dxa" w:w="4831"/>
            <w:vAlign w:val="center"/>
          </w:tcPr>
          <w:p>
            <w:pPr>
              <w:spacing w:after="20"/>
            </w:pPr>
            <w:r>
              <w:rPr>
                <w:color w:val="1F2937"/>
                <w:sz w:val="17"/>
              </w:rPr>
              <w:t>Ahmedabad, Bengaluru, Chennai, Delhi, Kolkata, Mumbai, and Pune.</w:t>
            </w:r>
          </w:p>
        </w:tc>
      </w:tr>
      <w:tr>
        <w:tc>
          <w:tcPr>
            <w:tcW w:type="dxa" w:w="4831"/>
            <w:vAlign w:val="center"/>
            <w:shd w:fill="F1F5F9"/>
          </w:tcPr>
          <w:p>
            <w:pPr>
              <w:spacing w:after="20"/>
            </w:pPr>
            <w:r>
              <w:rPr>
                <w:color w:val="1F2937"/>
                <w:sz w:val="17"/>
              </w:rPr>
              <w:t>Weather inputs</w:t>
            </w:r>
          </w:p>
        </w:tc>
        <w:tc>
          <w:tcPr>
            <w:tcW w:type="dxa" w:w="4831"/>
            <w:vAlign w:val="center"/>
            <w:shd w:fill="F1F5F9"/>
          </w:tcPr>
          <w:p>
            <w:pPr>
              <w:spacing w:after="20"/>
            </w:pPr>
            <w:r>
              <w:rPr>
                <w:color w:val="1F2937"/>
                <w:sz w:val="17"/>
              </w:rPr>
              <w:t>Maximum/minimum temperature, rainfall, date/calendar, city, and threshold context.</w:t>
            </w:r>
          </w:p>
        </w:tc>
      </w:tr>
      <w:tr>
        <w:tc>
          <w:tcPr>
            <w:tcW w:type="dxa" w:w="4831"/>
            <w:vAlign w:val="center"/>
          </w:tcPr>
          <w:p>
            <w:pPr>
              <w:spacing w:after="20"/>
            </w:pPr>
            <w:r>
              <w:rPr>
                <w:color w:val="1F2937"/>
                <w:sz w:val="17"/>
              </w:rPr>
              <w:t>Labels</w:t>
            </w:r>
          </w:p>
        </w:tc>
        <w:tc>
          <w:tcPr>
            <w:tcW w:type="dxa" w:w="4831"/>
            <w:vAlign w:val="center"/>
          </w:tcPr>
          <w:p>
            <w:pPr>
              <w:spacing w:after="20"/>
            </w:pPr>
            <w:r>
              <w:rPr>
                <w:color w:val="1F2937"/>
                <w:sz w:val="17"/>
              </w:rPr>
              <w:t>Heatwave indicator and Normal/Warning/Severe/Extreme severity.</w:t>
            </w:r>
          </w:p>
        </w:tc>
      </w:tr>
      <w:tr>
        <w:tc>
          <w:tcPr>
            <w:tcW w:type="dxa" w:w="4831"/>
            <w:vAlign w:val="center"/>
            <w:shd w:fill="F1F5F9"/>
          </w:tcPr>
          <w:p>
            <w:pPr>
              <w:spacing w:after="20"/>
            </w:pPr>
            <w:r>
              <w:rPr>
                <w:color w:val="1F2937"/>
                <w:sz w:val="17"/>
              </w:rPr>
              <w:t>Eligible feature rows</w:t>
            </w:r>
          </w:p>
        </w:tc>
        <w:tc>
          <w:tcPr>
            <w:tcW w:type="dxa" w:w="4831"/>
            <w:vAlign w:val="center"/>
            <w:shd w:fill="F1F5F9"/>
          </w:tcPr>
          <w:p>
            <w:pPr>
              <w:spacing w:after="20"/>
            </w:pPr>
            <w:r>
              <w:rPr>
                <w:color w:val="1F2937"/>
                <w:sz w:val="17"/>
              </w:rPr>
              <w:t>187,022 after history and next-day target checks.</w:t>
            </w:r>
          </w:p>
        </w:tc>
      </w:tr>
      <w:tr>
        <w:tc>
          <w:tcPr>
            <w:tcW w:type="dxa" w:w="4831"/>
            <w:vAlign w:val="center"/>
          </w:tcPr>
          <w:p>
            <w:pPr>
              <w:spacing w:after="20"/>
            </w:pPr>
            <w:r>
              <w:rPr>
                <w:color w:val="1F2937"/>
                <w:sz w:val="17"/>
              </w:rPr>
              <w:t>Feature count</w:t>
            </w:r>
          </w:p>
        </w:tc>
        <w:tc>
          <w:tcPr>
            <w:tcW w:type="dxa" w:w="4831"/>
            <w:vAlign w:val="center"/>
          </w:tcPr>
          <w:p>
            <w:pPr>
              <w:spacing w:after="20"/>
            </w:pPr>
            <w:r>
              <w:rPr>
                <w:color w:val="1F2937"/>
                <w:sz w:val="17"/>
              </w:rPr>
              <w:t>45 weather, temporal, spatial, missingness, and threshold-context inputs.</w:t>
            </w:r>
          </w:p>
        </w:tc>
      </w:tr>
    </w:tbl>
    <w:p>
      <w:pPr>
        <w:spacing w:after="20"/>
      </w:pPr>
    </w:p>
    <w:p>
      <w:pPr>
        <w:pStyle w:val="Heading2"/>
        <w:keepNext/>
      </w:pPr>
      <w:r>
        <w:t>Cleaning and feature construction</w:t>
      </w:r>
    </w:p>
    <w:p>
      <w:pPr>
        <w:pStyle w:val="ListBullet"/>
        <w:spacing w:after="40"/>
      </w:pPr>
      <w:r>
        <w:t>Orders observations by city and date and validates duplicate city/date keys.</w:t>
      </w:r>
    </w:p>
    <w:p>
      <w:pPr>
        <w:pStyle w:val="ListBullet"/>
        <w:spacing w:after="40"/>
      </w:pPr>
      <w:r>
        <w:t>Interpolates missing minimum-temperature values within continuous segments.</w:t>
      </w:r>
    </w:p>
    <w:p>
      <w:pPr>
        <w:pStyle w:val="ListBullet"/>
        <w:spacing w:after="40"/>
      </w:pPr>
      <w:r>
        <w:t>Tracks whether rainfall was observed with a `rain_is_recorded` indicator where values are filled.</w:t>
      </w:r>
    </w:p>
    <w:p>
      <w:pPr>
        <w:pStyle w:val="ListBullet"/>
        <w:spacing w:after="40"/>
      </w:pPr>
      <w:r>
        <w:t>Marks calendar gaps so rolling windows and lags do not cross missing-date segments.</w:t>
      </w:r>
    </w:p>
    <w:p>
      <w:pPr>
        <w:pStyle w:val="ListBullet"/>
        <w:spacing w:after="40"/>
      </w:pPr>
      <w:r>
        <w:t>Builds weather lags, rolling summaries, diurnal range, persistence, cyclical calendar encodings, city/season indicators, and next-day threshold context.</w:t>
      </w:r>
    </w:p>
    <w:p>
      <w:pPr>
        <w:pStyle w:val="ListBullet"/>
        <w:spacing w:after="40"/>
      </w:pPr>
      <w:r>
        <w:t>Creates next-day heatwave, temperature-departure, severity, and maximum-temperature targets.</w:t>
      </w:r>
    </w:p>
    <w:p>
      <w:pPr>
        <w:pStyle w:val="ListBullet"/>
        <w:spacing w:after="40"/>
      </w:pPr>
      <w:r>
        <w:t>Uses a chronological target-date split: train through 2015, validation 2016–2020, and test 2021–2024.</w:t>
      </w:r>
    </w:p>
    <w:p>
      <w:pPr>
        <w:spacing w:after="100" w:line="259" w:lineRule="auto"/>
      </w:pPr>
      <w:r>
        <w:t>The feature-engineering report records 318 rows without a full seven-day history and 47 rows without a valid next-day target as excluded. The pipeline includes checks for feature/target separation and calendar alignment.</w:t>
      </w:r>
    </w:p>
    <w:p>
      <w:pPr>
        <w:pStyle w:val="Heading1"/>
        <w:keepNext/>
      </w:pPr>
      <w:r>
        <w:t>4. Prediction model and measured results</w:t>
      </w:r>
    </w:p>
    <w:p>
      <w:pPr>
        <w:spacing w:after="100" w:line="259" w:lineRule="auto"/>
      </w:pPr>
      <w:r>
        <w:t>The runtime artifact is a fitted `TwoStageHeatwavePredictor` implemented in `models/hybrid_engine.py`. Its actual estimators are scikit-learn histogram gradient boosting models: a squared-error departure regressor, separate 10th- and 90th-quantile regressors, and a binary heatwave classifier with balanced class weights. The loaded artifact stores a 0.35 decision threshold.</w:t>
      </w:r>
    </w:p>
    <w:p>
      <w:pPr>
        <w:spacing w:after="100" w:line="259" w:lineRule="auto"/>
      </w:pPr>
      <w:r>
        <w:t>The model combines the heatwave score with the temperature-departure estimate and quantile bounds to return a next-day maximum estimate, uncertainty context, risk level, and severity label. The current fitting code does not apply a probability calibration wrapper; its probability outputs are not described here as calibrated.</w:t>
      </w:r>
    </w:p>
    <w:tbl>
      <w:tblPr>
        <w:tblStyle w:val="TableGrid"/>
        <w:tblW w:type="auto" w:w="0"/>
        <w:jc w:val="center"/>
        <w:tblLook w:firstColumn="1" w:firstRow="1" w:lastColumn="0" w:lastRow="0" w:noHBand="0" w:noVBand="1" w:val="04A0"/>
      </w:tblPr>
      <w:tblGrid>
        <w:gridCol w:w="4831"/>
        <w:gridCol w:w="4831"/>
      </w:tblGrid>
      <w:tr>
        <w:tc>
          <w:tcPr>
            <w:tcW w:type="dxa" w:w="4831"/>
            <w:shd w:fill="142B4A"/>
            <w:vAlign w:val="center"/>
          </w:tcPr>
          <w:p>
            <w:r>
              <w:rPr>
                <w:b/>
                <w:color w:val="FFFFFF"/>
                <w:sz w:val="17"/>
              </w:rPr>
              <w:t>Test metric</w:t>
            </w:r>
          </w:p>
        </w:tc>
        <w:tc>
          <w:tcPr>
            <w:tcW w:type="dxa" w:w="4831"/>
            <w:shd w:fill="142B4A"/>
            <w:vAlign w:val="center"/>
          </w:tcPr>
          <w:p>
            <w:r>
              <w:rPr>
                <w:b/>
                <w:color w:val="FFFFFF"/>
                <w:sz w:val="17"/>
              </w:rPr>
              <w:t>Recomputed result</w:t>
            </w:r>
          </w:p>
        </w:tc>
      </w:tr>
      <w:tr>
        <w:tc>
          <w:tcPr>
            <w:tcW w:type="dxa" w:w="4831"/>
            <w:vAlign w:val="center"/>
          </w:tcPr>
          <w:p>
            <w:pPr>
              <w:spacing w:after="20"/>
            </w:pPr>
            <w:r>
              <w:rPr>
                <w:color w:val="1F2937"/>
                <w:sz w:val="17"/>
              </w:rPr>
              <w:t>Test observations</w:t>
            </w:r>
          </w:p>
        </w:tc>
        <w:tc>
          <w:tcPr>
            <w:tcW w:type="dxa" w:w="4831"/>
            <w:vAlign w:val="center"/>
          </w:tcPr>
          <w:p>
            <w:pPr>
              <w:spacing w:after="20"/>
            </w:pPr>
            <w:r>
              <w:rPr>
                <w:color w:val="1F2937"/>
                <w:sz w:val="17"/>
              </w:rPr>
              <w:t>8,120 (265 heatwave labels; 3.264%).</w:t>
            </w:r>
          </w:p>
        </w:tc>
      </w:tr>
      <w:tr>
        <w:tc>
          <w:tcPr>
            <w:tcW w:type="dxa" w:w="4831"/>
            <w:vAlign w:val="center"/>
            <w:shd w:fill="F1F5F9"/>
          </w:tcPr>
          <w:p>
            <w:pPr>
              <w:spacing w:after="20"/>
            </w:pPr>
            <w:r>
              <w:rPr>
                <w:color w:val="1F2937"/>
                <w:sz w:val="17"/>
              </w:rPr>
              <w:t>Decision threshold</w:t>
            </w:r>
          </w:p>
        </w:tc>
        <w:tc>
          <w:tcPr>
            <w:tcW w:type="dxa" w:w="4831"/>
            <w:vAlign w:val="center"/>
            <w:shd w:fill="F1F5F9"/>
          </w:tcPr>
          <w:p>
            <w:pPr>
              <w:spacing w:after="20"/>
            </w:pPr>
            <w:r>
              <w:rPr>
                <w:color w:val="1F2937"/>
                <w:sz w:val="17"/>
              </w:rPr>
              <w:t>0.35.</w:t>
            </w:r>
          </w:p>
        </w:tc>
      </w:tr>
      <w:tr>
        <w:tc>
          <w:tcPr>
            <w:tcW w:type="dxa" w:w="4831"/>
            <w:vAlign w:val="center"/>
          </w:tcPr>
          <w:p>
            <w:pPr>
              <w:spacing w:after="20"/>
            </w:pPr>
            <w:r>
              <w:rPr>
                <w:color w:val="1F2937"/>
                <w:sz w:val="17"/>
              </w:rPr>
              <w:t>Accuracy</w:t>
            </w:r>
          </w:p>
        </w:tc>
        <w:tc>
          <w:tcPr>
            <w:tcW w:type="dxa" w:w="4831"/>
            <w:vAlign w:val="center"/>
          </w:tcPr>
          <w:p>
            <w:pPr>
              <w:spacing w:after="20"/>
            </w:pPr>
            <w:r>
              <w:rPr>
                <w:color w:val="1F2937"/>
                <w:sz w:val="17"/>
              </w:rPr>
              <w:t>96.18%.</w:t>
            </w:r>
          </w:p>
        </w:tc>
      </w:tr>
      <w:tr>
        <w:tc>
          <w:tcPr>
            <w:tcW w:type="dxa" w:w="4831"/>
            <w:vAlign w:val="center"/>
            <w:shd w:fill="F1F5F9"/>
          </w:tcPr>
          <w:p>
            <w:pPr>
              <w:spacing w:after="20"/>
            </w:pPr>
            <w:r>
              <w:rPr>
                <w:color w:val="1F2937"/>
                <w:sz w:val="17"/>
              </w:rPr>
              <w:t>Balanced accuracy</w:t>
            </w:r>
          </w:p>
        </w:tc>
        <w:tc>
          <w:tcPr>
            <w:tcW w:type="dxa" w:w="4831"/>
            <w:vAlign w:val="center"/>
            <w:shd w:fill="F1F5F9"/>
          </w:tcPr>
          <w:p>
            <w:pPr>
              <w:spacing w:after="20"/>
            </w:pPr>
            <w:r>
              <w:rPr>
                <w:color w:val="1F2937"/>
                <w:sz w:val="17"/>
              </w:rPr>
              <w:t>94.38%.</w:t>
            </w:r>
          </w:p>
        </w:tc>
      </w:tr>
      <w:tr>
        <w:tc>
          <w:tcPr>
            <w:tcW w:type="dxa" w:w="4831"/>
            <w:vAlign w:val="center"/>
          </w:tcPr>
          <w:p>
            <w:pPr>
              <w:spacing w:after="20"/>
            </w:pPr>
            <w:r>
              <w:rPr>
                <w:color w:val="1F2937"/>
                <w:sz w:val="17"/>
              </w:rPr>
              <w:t>PR-AUC (average precision)</w:t>
            </w:r>
          </w:p>
        </w:tc>
        <w:tc>
          <w:tcPr>
            <w:tcW w:type="dxa" w:w="4831"/>
            <w:vAlign w:val="center"/>
          </w:tcPr>
          <w:p>
            <w:pPr>
              <w:spacing w:after="20"/>
            </w:pPr>
            <w:r>
              <w:rPr>
                <w:color w:val="1F2937"/>
                <w:sz w:val="17"/>
              </w:rPr>
              <w:t>0.7294.</w:t>
            </w:r>
          </w:p>
        </w:tc>
      </w:tr>
      <w:tr>
        <w:tc>
          <w:tcPr>
            <w:tcW w:type="dxa" w:w="4831"/>
            <w:vAlign w:val="center"/>
            <w:shd w:fill="F1F5F9"/>
          </w:tcPr>
          <w:p>
            <w:pPr>
              <w:spacing w:after="20"/>
            </w:pPr>
            <w:r>
              <w:rPr>
                <w:color w:val="1F2937"/>
                <w:sz w:val="17"/>
              </w:rPr>
              <w:t>ROC-AUC</w:t>
            </w:r>
          </w:p>
        </w:tc>
        <w:tc>
          <w:tcPr>
            <w:tcW w:type="dxa" w:w="4831"/>
            <w:vAlign w:val="center"/>
            <w:shd w:fill="F1F5F9"/>
          </w:tcPr>
          <w:p>
            <w:pPr>
              <w:spacing w:after="20"/>
            </w:pPr>
            <w:r>
              <w:rPr>
                <w:color w:val="1F2937"/>
                <w:sz w:val="17"/>
              </w:rPr>
              <w:t>0.9818.</w:t>
            </w:r>
          </w:p>
        </w:tc>
      </w:tr>
      <w:tr>
        <w:tc>
          <w:tcPr>
            <w:tcW w:type="dxa" w:w="4831"/>
            <w:vAlign w:val="center"/>
          </w:tcPr>
          <w:p>
            <w:pPr>
              <w:spacing w:after="20"/>
            </w:pPr>
            <w:r>
              <w:rPr>
                <w:color w:val="1F2937"/>
                <w:sz w:val="17"/>
              </w:rPr>
              <w:t>Precision / recall</w:t>
            </w:r>
          </w:p>
        </w:tc>
        <w:tc>
          <w:tcPr>
            <w:tcW w:type="dxa" w:w="4831"/>
            <w:vAlign w:val="center"/>
          </w:tcPr>
          <w:p>
            <w:pPr>
              <w:spacing w:after="20"/>
            </w:pPr>
            <w:r>
              <w:rPr>
                <w:color w:val="1F2937"/>
                <w:sz w:val="17"/>
              </w:rPr>
              <w:t>45.79% / 92.45%.</w:t>
            </w:r>
          </w:p>
        </w:tc>
      </w:tr>
      <w:tr>
        <w:tc>
          <w:tcPr>
            <w:tcW w:type="dxa" w:w="4831"/>
            <w:vAlign w:val="center"/>
            <w:shd w:fill="F1F5F9"/>
          </w:tcPr>
          <w:p>
            <w:pPr>
              <w:spacing w:after="20"/>
            </w:pPr>
            <w:r>
              <w:rPr>
                <w:color w:val="1F2937"/>
                <w:sz w:val="17"/>
              </w:rPr>
              <w:t>Brier score</w:t>
            </w:r>
          </w:p>
        </w:tc>
        <w:tc>
          <w:tcPr>
            <w:tcW w:type="dxa" w:w="4831"/>
            <w:vAlign w:val="center"/>
            <w:shd w:fill="F1F5F9"/>
          </w:tcPr>
          <w:p>
            <w:pPr>
              <w:spacing w:after="20"/>
            </w:pPr>
            <w:r>
              <w:rPr>
                <w:color w:val="1F2937"/>
                <w:sz w:val="17"/>
              </w:rPr>
              <w:t>0.0263.</w:t>
            </w:r>
          </w:p>
        </w:tc>
      </w:tr>
      <w:tr>
        <w:tc>
          <w:tcPr>
            <w:tcW w:type="dxa" w:w="4831"/>
            <w:vAlign w:val="center"/>
          </w:tcPr>
          <w:p>
            <w:pPr>
              <w:spacing w:after="20"/>
            </w:pPr>
            <w:r>
              <w:rPr>
                <w:color w:val="1F2937"/>
                <w:sz w:val="17"/>
              </w:rPr>
              <w:t>Departure MAE / RMSE / R²</w:t>
            </w:r>
          </w:p>
        </w:tc>
        <w:tc>
          <w:tcPr>
            <w:tcW w:type="dxa" w:w="4831"/>
            <w:vAlign w:val="center"/>
          </w:tcPr>
          <w:p>
            <w:pPr>
              <w:spacing w:after="20"/>
            </w:pPr>
            <w:r>
              <w:rPr>
                <w:color w:val="1F2937"/>
                <w:sz w:val="17"/>
              </w:rPr>
              <w:t>1.070 °C / 1.490 °C / 0.8751.</w:t>
            </w:r>
          </w:p>
        </w:tc>
      </w:tr>
    </w:tbl>
    <w:p>
      <w:pPr>
        <w:spacing w:after="20"/>
      </w:pPr>
    </w:p>
    <w:p>
      <w:pPr>
        <w:pStyle w:val="Heading2"/>
        <w:keepNext/>
      </w:pPr>
      <w:r>
        <w:t>Test confusion matrix</w:t>
      </w:r>
    </w:p>
    <w:tbl>
      <w:tblPr>
        <w:tblStyle w:val="TableGrid"/>
        <w:tblW w:type="auto" w:w="0"/>
        <w:jc w:val="center"/>
        <w:tblLook w:firstColumn="1" w:firstRow="1" w:lastColumn="0" w:lastRow="0" w:noHBand="0" w:noVBand="1" w:val="04A0"/>
      </w:tblPr>
      <w:tblGrid>
        <w:gridCol w:w="3221"/>
        <w:gridCol w:w="3221"/>
        <w:gridCol w:w="3221"/>
      </w:tblGrid>
      <w:tr>
        <w:tc>
          <w:tcPr>
            <w:tcW w:type="dxa" w:w="3221"/>
            <w:shd w:fill="142B4A"/>
            <w:vAlign w:val="center"/>
          </w:tcPr>
          <w:p>
            <w:r>
              <w:rPr>
                <w:b/>
                <w:color w:val="FFFFFF"/>
                <w:sz w:val="17"/>
              </w:rPr>
              <w:t>Prediction</w:t>
            </w:r>
          </w:p>
        </w:tc>
        <w:tc>
          <w:tcPr>
            <w:tcW w:type="dxa" w:w="3221"/>
            <w:shd w:fill="142B4A"/>
            <w:vAlign w:val="center"/>
          </w:tcPr>
          <w:p>
            <w:r>
              <w:rPr>
                <w:b/>
                <w:color w:val="FFFFFF"/>
                <w:sz w:val="17"/>
              </w:rPr>
              <w:t>Actual normal</w:t>
            </w:r>
          </w:p>
        </w:tc>
        <w:tc>
          <w:tcPr>
            <w:tcW w:type="dxa" w:w="3221"/>
            <w:shd w:fill="142B4A"/>
            <w:vAlign w:val="center"/>
          </w:tcPr>
          <w:p>
            <w:r>
              <w:rPr>
                <w:b/>
                <w:color w:val="FFFFFF"/>
                <w:sz w:val="17"/>
              </w:rPr>
              <w:t>Actual heatwave</w:t>
            </w:r>
          </w:p>
        </w:tc>
      </w:tr>
      <w:tr>
        <w:tc>
          <w:tcPr>
            <w:tcW w:type="dxa" w:w="3221"/>
            <w:vAlign w:val="center"/>
          </w:tcPr>
          <w:p>
            <w:pPr>
              <w:spacing w:after="20"/>
            </w:pPr>
            <w:r>
              <w:rPr>
                <w:color w:val="1F2937"/>
                <w:sz w:val="17"/>
              </w:rPr>
              <w:t>Predicted normal</w:t>
            </w:r>
          </w:p>
        </w:tc>
        <w:tc>
          <w:tcPr>
            <w:tcW w:type="dxa" w:w="3221"/>
            <w:vAlign w:val="center"/>
          </w:tcPr>
          <w:p>
            <w:pPr>
              <w:spacing w:after="20"/>
            </w:pPr>
            <w:r>
              <w:rPr>
                <w:color w:val="1F2937"/>
                <w:sz w:val="17"/>
              </w:rPr>
              <w:t>7,565</w:t>
            </w:r>
          </w:p>
        </w:tc>
        <w:tc>
          <w:tcPr>
            <w:tcW w:type="dxa" w:w="3221"/>
            <w:vAlign w:val="center"/>
          </w:tcPr>
          <w:p>
            <w:pPr>
              <w:spacing w:after="20"/>
            </w:pPr>
            <w:r>
              <w:rPr>
                <w:color w:val="1F2937"/>
                <w:sz w:val="17"/>
              </w:rPr>
              <w:t>20</w:t>
            </w:r>
          </w:p>
        </w:tc>
      </w:tr>
      <w:tr>
        <w:tc>
          <w:tcPr>
            <w:tcW w:type="dxa" w:w="3221"/>
            <w:vAlign w:val="center"/>
            <w:shd w:fill="F1F5F9"/>
          </w:tcPr>
          <w:p>
            <w:pPr>
              <w:spacing w:after="20"/>
            </w:pPr>
            <w:r>
              <w:rPr>
                <w:color w:val="1F2937"/>
                <w:sz w:val="17"/>
              </w:rPr>
              <w:t>Predicted heatwave</w:t>
            </w:r>
          </w:p>
        </w:tc>
        <w:tc>
          <w:tcPr>
            <w:tcW w:type="dxa" w:w="3221"/>
            <w:vAlign w:val="center"/>
            <w:shd w:fill="F1F5F9"/>
          </w:tcPr>
          <w:p>
            <w:pPr>
              <w:spacing w:after="20"/>
            </w:pPr>
            <w:r>
              <w:rPr>
                <w:color w:val="1F2937"/>
                <w:sz w:val="17"/>
              </w:rPr>
              <w:t>290</w:t>
            </w:r>
          </w:p>
        </w:tc>
        <w:tc>
          <w:tcPr>
            <w:tcW w:type="dxa" w:w="3221"/>
            <w:vAlign w:val="center"/>
            <w:shd w:fill="F1F5F9"/>
          </w:tcPr>
          <w:p>
            <w:pPr>
              <w:spacing w:after="20"/>
            </w:pPr>
            <w:r>
              <w:rPr>
                <w:color w:val="1F2937"/>
                <w:sz w:val="17"/>
              </w:rPr>
              <w:t>245</w:t>
            </w:r>
          </w:p>
        </w:tc>
      </w:tr>
    </w:tbl>
    <w:p>
      <w:pPr>
        <w:spacing w:after="20"/>
      </w:pPr>
    </w:p>
    <w:p>
      <w:pPr>
        <w:spacing w:after="100" w:line="259" w:lineRule="auto"/>
      </w:pPr>
      <w:r>
        <w:t>These results were recomputed by loading the saved runtime model, regenerating the feature matrix in memory from the checked-in cleaned data with the current feature code, and evaluating the 2021–2024 test partition at the model's stored threshold. They describe this artifact and split, not live-forecast accuracy. The Brier score is a scoring metric and does not establish probability calibration.</w:t>
      </w:r>
    </w:p>
    <w:p>
      <w:pPr>
        <w:pStyle w:val="Heading1"/>
        <w:keepNext/>
      </w:pPr>
      <w:r>
        <w:t>5. GenAI advisory and chat experience</w:t>
      </w:r>
    </w:p>
    <w:p>
      <w:pPr>
        <w:spacing w:after="100" w:line="259" w:lineRule="auto"/>
      </w:pPr>
      <w:r>
        <w:t>The advisory service uses structured prediction context such as city, target date, predicted temperature, departure, heatwave score, risk, severity, and uncertainty bounds. It selects persona-specific instructions and returns advisory text with a priority checklist. The Advisory Studio supports Citizen, Farmer, Health Agency, and Municipal Authority audiences.</w:t>
      </w:r>
    </w:p>
    <w:p>
      <w:pPr>
        <w:spacing w:after="100" w:line="259" w:lineRule="auto"/>
      </w:pPr>
      <w:r>
        <w:t>The service currently requests gemini-3.8-flash when an API key is configured. If the request is unavailable or fails, the application uses deterministic rule-based advisory and conversational fallback logic. The initial integration run on 9 October 2026 encountered provider errors, but a later live request through the /api/advisory endpoint successfully generated a Citizen advisory with Gemini. The integration suite also exercised the fallback path. Provider availability and quota can still interrupt later requests.</w:t>
      </w:r>
    </w:p>
    <w:p>
      <w:pPr>
        <w:spacing w:after="100" w:line="259" w:lineRule="auto"/>
      </w:pPr>
      <w:r>
        <w:t>Prompt grounding and fallback behavior reduce risk but cannot guarantee that every generated sentence is correct. Advisory text is a prototype communication aid and should be reviewed before use; it is not medical advice or an official weather warning.</w:t>
      </w:r>
    </w:p>
    <w:p>
      <w:pPr>
        <w:pStyle w:val="Heading1"/>
        <w:keepNext/>
      </w:pPr>
      <w:r>
        <w:t>6. Application features and user journey</w:t>
      </w:r>
    </w:p>
    <w:tbl>
      <w:tblPr>
        <w:tblStyle w:val="TableGrid"/>
        <w:tblW w:type="auto" w:w="0"/>
        <w:jc w:val="center"/>
        <w:tblLook w:firstColumn="1" w:firstRow="1" w:lastColumn="0" w:lastRow="0" w:noHBand="0" w:noVBand="1" w:val="04A0"/>
      </w:tblPr>
      <w:tblGrid>
        <w:gridCol w:w="4831"/>
        <w:gridCol w:w="4831"/>
      </w:tblGrid>
      <w:tr>
        <w:tc>
          <w:tcPr>
            <w:tcW w:type="dxa" w:w="4831"/>
            <w:shd w:fill="142B4A"/>
            <w:vAlign w:val="center"/>
          </w:tcPr>
          <w:p>
            <w:r>
              <w:rPr>
                <w:b/>
                <w:color w:val="FFFFFF"/>
                <w:sz w:val="17"/>
              </w:rPr>
              <w:t>Page/feature</w:t>
            </w:r>
          </w:p>
        </w:tc>
        <w:tc>
          <w:tcPr>
            <w:tcW w:type="dxa" w:w="4831"/>
            <w:shd w:fill="142B4A"/>
            <w:vAlign w:val="center"/>
          </w:tcPr>
          <w:p>
            <w:r>
              <w:rPr>
                <w:b/>
                <w:color w:val="FFFFFF"/>
                <w:sz w:val="17"/>
              </w:rPr>
              <w:t>What a user can do</w:t>
            </w:r>
          </w:p>
        </w:tc>
      </w:tr>
      <w:tr>
        <w:tc>
          <w:tcPr>
            <w:tcW w:type="dxa" w:w="4831"/>
            <w:vAlign w:val="center"/>
          </w:tcPr>
          <w:p>
            <w:pPr>
              <w:spacing w:after="20"/>
            </w:pPr>
            <w:r>
              <w:rPr>
                <w:color w:val="1F2937"/>
                <w:sz w:val="17"/>
              </w:rPr>
              <w:t>Dashboard</w:t>
            </w:r>
          </w:p>
        </w:tc>
        <w:tc>
          <w:tcPr>
            <w:tcW w:type="dxa" w:w="4831"/>
            <w:vAlign w:val="center"/>
          </w:tcPr>
          <w:p>
            <w:pPr>
              <w:spacing w:after="20"/>
            </w:pPr>
            <w:r>
              <w:rPr>
                <w:color w:val="1F2937"/>
                <w:sz w:val="17"/>
              </w:rPr>
              <w:t>Choose a city and historical date, view the next-day model output, temperature context, map, and trajectory.</w:t>
            </w:r>
          </w:p>
        </w:tc>
      </w:tr>
      <w:tr>
        <w:tc>
          <w:tcPr>
            <w:tcW w:type="dxa" w:w="4831"/>
            <w:vAlign w:val="center"/>
            <w:shd w:fill="F1F5F9"/>
          </w:tcPr>
          <w:p>
            <w:pPr>
              <w:spacing w:after="20"/>
            </w:pPr>
            <w:r>
              <w:rPr>
                <w:color w:val="1F2937"/>
                <w:sz w:val="17"/>
              </w:rPr>
              <w:t>Date advance</w:t>
            </w:r>
          </w:p>
        </w:tc>
        <w:tc>
          <w:tcPr>
            <w:tcW w:type="dxa" w:w="4831"/>
            <w:vAlign w:val="center"/>
            <w:shd w:fill="F1F5F9"/>
          </w:tcPr>
          <w:p>
            <w:pPr>
              <w:spacing w:after="20"/>
            </w:pPr>
            <w:r>
              <w:rPr>
                <w:color w:val="1F2937"/>
                <w:sz w:val="17"/>
              </w:rPr>
              <w:t>Move the selected historical date forward one day and rerun the selected-city prediction.</w:t>
            </w:r>
          </w:p>
        </w:tc>
      </w:tr>
      <w:tr>
        <w:tc>
          <w:tcPr>
            <w:tcW w:type="dxa" w:w="4831"/>
            <w:vAlign w:val="center"/>
          </w:tcPr>
          <w:p>
            <w:pPr>
              <w:spacing w:after="20"/>
            </w:pPr>
            <w:r>
              <w:rPr>
                <w:color w:val="1F2937"/>
                <w:sz w:val="17"/>
              </w:rPr>
              <w:t>All-city synchronization</w:t>
            </w:r>
          </w:p>
        </w:tc>
        <w:tc>
          <w:tcPr>
            <w:tcW w:type="dxa" w:w="4831"/>
            <w:vAlign w:val="center"/>
          </w:tcPr>
          <w:p>
            <w:pPr>
              <w:spacing w:after="20"/>
            </w:pPr>
            <w:r>
              <w:rPr>
                <w:color w:val="1F2937"/>
                <w:sz w:val="17"/>
              </w:rPr>
              <w:t>Request the seven city results for the selected date and display them on the map.</w:t>
            </w:r>
          </w:p>
        </w:tc>
      </w:tr>
      <w:tr>
        <w:tc>
          <w:tcPr>
            <w:tcW w:type="dxa" w:w="4831"/>
            <w:vAlign w:val="center"/>
            <w:shd w:fill="F1F5F9"/>
          </w:tcPr>
          <w:p>
            <w:pPr>
              <w:spacing w:after="20"/>
            </w:pPr>
            <w:r>
              <w:rPr>
                <w:color w:val="1F2937"/>
                <w:sz w:val="17"/>
              </w:rPr>
              <w:t>Analytics</w:t>
            </w:r>
          </w:p>
        </w:tc>
        <w:tc>
          <w:tcPr>
            <w:tcW w:type="dxa" w:w="4831"/>
            <w:vAlign w:val="center"/>
            <w:shd w:fill="F1F5F9"/>
          </w:tcPr>
          <w:p>
            <w:pPr>
              <w:spacing w:after="20"/>
            </w:pPr>
            <w:r>
              <w:rPr>
                <w:color w:val="1F2937"/>
                <w:sz w:val="17"/>
              </w:rPr>
              <w:t>Explore historical city comparisons, decadal/monthly patterns, records, and persistence.</w:t>
            </w:r>
          </w:p>
        </w:tc>
      </w:tr>
      <w:tr>
        <w:tc>
          <w:tcPr>
            <w:tcW w:type="dxa" w:w="4831"/>
            <w:vAlign w:val="center"/>
          </w:tcPr>
          <w:p>
            <w:pPr>
              <w:spacing w:after="20"/>
            </w:pPr>
            <w:r>
              <w:rPr>
                <w:color w:val="1F2937"/>
                <w:sz w:val="17"/>
              </w:rPr>
              <w:t>Advisory Studio</w:t>
            </w:r>
          </w:p>
        </w:tc>
        <w:tc>
          <w:tcPr>
            <w:tcW w:type="dxa" w:w="4831"/>
            <w:vAlign w:val="center"/>
          </w:tcPr>
          <w:p>
            <w:pPr>
              <w:spacing w:after="20"/>
            </w:pPr>
            <w:r>
              <w:rPr>
                <w:color w:val="1F2937"/>
                <w:sz w:val="17"/>
              </w:rPr>
              <w:t>Generate one persona's advisory/checklist, copy it, and download a single-persona PDF.</w:t>
            </w:r>
          </w:p>
        </w:tc>
      </w:tr>
      <w:tr>
        <w:tc>
          <w:tcPr>
            <w:tcW w:type="dxa" w:w="4831"/>
            <w:vAlign w:val="center"/>
            <w:shd w:fill="F1F5F9"/>
          </w:tcPr>
          <w:p>
            <w:pPr>
              <w:spacing w:after="20"/>
            </w:pPr>
            <w:r>
              <w:rPr>
                <w:color w:val="1F2937"/>
                <w:sz w:val="17"/>
              </w:rPr>
              <w:t>Combined stakeholder PDF</w:t>
            </w:r>
          </w:p>
        </w:tc>
        <w:tc>
          <w:tcPr>
            <w:tcW w:type="dxa" w:w="4831"/>
            <w:vAlign w:val="center"/>
            <w:shd w:fill="F1F5F9"/>
          </w:tcPr>
          <w:p>
            <w:pPr>
              <w:spacing w:after="20"/>
            </w:pPr>
            <w:r>
              <w:rPr>
                <w:color w:val="1F2937"/>
                <w:sz w:val="17"/>
              </w:rPr>
              <w:t>Request all four persona advisories for one selected city/date and combine them in one PDF.</w:t>
            </w:r>
          </w:p>
        </w:tc>
      </w:tr>
      <w:tr>
        <w:tc>
          <w:tcPr>
            <w:tcW w:type="dxa" w:w="4831"/>
            <w:vAlign w:val="center"/>
          </w:tcPr>
          <w:p>
            <w:pPr>
              <w:spacing w:after="20"/>
            </w:pPr>
            <w:r>
              <w:rPr>
                <w:color w:val="1F2937"/>
                <w:sz w:val="17"/>
              </w:rPr>
              <w:t>HeatGuard Copilot</w:t>
            </w:r>
          </w:p>
        </w:tc>
        <w:tc>
          <w:tcPr>
            <w:tcW w:type="dxa" w:w="4831"/>
            <w:vAlign w:val="center"/>
          </w:tcPr>
          <w:p>
            <w:pPr>
              <w:spacing w:after="20"/>
            </w:pPr>
            <w:r>
              <w:rPr>
                <w:color w:val="1F2937"/>
                <w:sz w:val="17"/>
              </w:rPr>
              <w:t>Ask contextual weather and risk questions using the chat interface.</w:t>
            </w:r>
          </w:p>
        </w:tc>
      </w:tr>
      <w:tr>
        <w:tc>
          <w:tcPr>
            <w:tcW w:type="dxa" w:w="4831"/>
            <w:vAlign w:val="center"/>
            <w:shd w:fill="F1F5F9"/>
          </w:tcPr>
          <w:p>
            <w:pPr>
              <w:spacing w:after="20"/>
            </w:pPr>
            <w:r>
              <w:rPr>
                <w:color w:val="1F2937"/>
                <w:sz w:val="17"/>
              </w:rPr>
              <w:t>Scenario comparison</w:t>
            </w:r>
          </w:p>
        </w:tc>
        <w:tc>
          <w:tcPr>
            <w:tcW w:type="dxa" w:w="4831"/>
            <w:vAlign w:val="center"/>
            <w:shd w:fill="F1F5F9"/>
          </w:tcPr>
          <w:p>
            <w:pPr>
              <w:spacing w:after="20"/>
            </w:pPr>
            <w:r>
              <w:rPr>
                <w:color w:val="1F2937"/>
                <w:sz w:val="17"/>
              </w:rPr>
              <w:t>Perturb selected model inputs and compare model outputs; this is a prototype scenario, not a climate projection.</w:t>
            </w:r>
          </w:p>
        </w:tc>
      </w:tr>
      <w:tr>
        <w:tc>
          <w:tcPr>
            <w:tcW w:type="dxa" w:w="4831"/>
            <w:vAlign w:val="center"/>
          </w:tcPr>
          <w:p>
            <w:pPr>
              <w:spacing w:after="20"/>
            </w:pPr>
            <w:r>
              <w:rPr>
                <w:color w:val="1F2937"/>
                <w:sz w:val="17"/>
              </w:rPr>
              <w:t>Simulated dispatch</w:t>
            </w:r>
          </w:p>
        </w:tc>
        <w:tc>
          <w:tcPr>
            <w:tcW w:type="dxa" w:w="4831"/>
            <w:vAlign w:val="center"/>
          </w:tcPr>
          <w:p>
            <w:pPr>
              <w:spacing w:after="20"/>
            </w:pPr>
            <w:r>
              <w:rPr>
                <w:color w:val="1F2937"/>
                <w:sz w:val="17"/>
              </w:rPr>
              <w:t>Show a receipt-shaped demonstration response; no alert is sent to external recipients.</w:t>
            </w:r>
          </w:p>
        </w:tc>
      </w:tr>
    </w:tbl>
    <w:p>
      <w:pPr>
        <w:spacing w:after="20"/>
      </w:pPr>
    </w:p>
    <w:p>
      <w:pPr>
        <w:pStyle w:val="Heading2"/>
        <w:keepNext/>
      </w:pPr>
      <w:r>
        <w:t>Implemented request flow</w:t>
      </w:r>
    </w:p>
    <w:p>
      <w:pPr>
        <w:pStyle w:val="ListBullet"/>
        <w:spacing w:after="40"/>
      </w:pPr>
      <w:r>
        <w:t>The user chooses an available city and historical date.</w:t>
      </w:r>
    </w:p>
    <w:p>
      <w:pPr>
        <w:pStyle w:val="ListBullet"/>
        <w:spacing w:after="40"/>
      </w:pPr>
      <w:r>
        <w:t>The prediction service reads the matching historical context and constructs the model's 45 input features.</w:t>
      </w:r>
    </w:p>
    <w:p>
      <w:pPr>
        <w:pStyle w:val="ListBullet"/>
        <w:spacing w:after="40"/>
      </w:pPr>
      <w:r>
        <w:t>The saved model returns risk, temperature-departure, uncertainty, and severity outputs.</w:t>
      </w:r>
    </w:p>
    <w:p>
      <w:pPr>
        <w:pStyle w:val="ListBullet"/>
        <w:spacing w:after="40"/>
      </w:pPr>
      <w:r>
        <w:t>The dashboard displays the response, while advisory generation adds audience-specific text from the structured context.</w:t>
      </w:r>
    </w:p>
    <w:p>
      <w:pPr>
        <w:pStyle w:val="ListBullet"/>
        <w:spacing w:after="40"/>
      </w:pPr>
      <w:r>
        <w:t>PDF controls format either one persona response or all four persona responses for download.</w:t>
      </w:r>
    </w:p>
    <w:p>
      <w:pPr>
        <w:pStyle w:val="Heading1"/>
        <w:keepNext/>
      </w:pPr>
      <w:r>
        <w:t>7. Integration checks and current scope</w:t>
      </w:r>
    </w:p>
    <w:p>
      <w:pPr>
        <w:spacing w:after="100" w:line="259" w:lineRule="auto"/>
      </w:pPr>
      <w:r>
        <w:t>`test_suite.py` was run on 9 October 2026. Its Flask page/API assertions passed for page rendering; city and preset data; single-city and all-city predictions; history and map data; four persona advisories; chat; historical analytics; scenario response; multi-step forecast response; simulated dispatch; and health status.</w:t>
      </w:r>
    </w:p>
    <w:tbl>
      <w:tblPr>
        <w:tblStyle w:val="TableGrid"/>
        <w:tblW w:type="auto" w:w="0"/>
        <w:jc w:val="center"/>
        <w:tblLook w:firstColumn="1" w:firstRow="1" w:lastColumn="0" w:lastRow="0" w:noHBand="0" w:noVBand="1" w:val="04A0"/>
      </w:tblPr>
      <w:tblGrid>
        <w:gridCol w:w="4831"/>
        <w:gridCol w:w="4831"/>
      </w:tblGrid>
      <w:tr>
        <w:tc>
          <w:tcPr>
            <w:tcW w:type="dxa" w:w="4831"/>
            <w:shd w:fill="142B4A"/>
            <w:vAlign w:val="center"/>
          </w:tcPr>
          <w:p>
            <w:r>
              <w:rPr>
                <w:b/>
                <w:color w:val="FFFFFF"/>
                <w:sz w:val="17"/>
              </w:rPr>
              <w:t>Boundary</w:t>
            </w:r>
          </w:p>
        </w:tc>
        <w:tc>
          <w:tcPr>
            <w:tcW w:type="dxa" w:w="4831"/>
            <w:shd w:fill="142B4A"/>
            <w:vAlign w:val="center"/>
          </w:tcPr>
          <w:p>
            <w:r>
              <w:rPr>
                <w:b/>
                <w:color w:val="FFFFFF"/>
                <w:sz w:val="17"/>
              </w:rPr>
              <w:t>Current status</w:t>
            </w:r>
          </w:p>
        </w:tc>
      </w:tr>
      <w:tr>
        <w:tc>
          <w:tcPr>
            <w:tcW w:type="dxa" w:w="4831"/>
            <w:vAlign w:val="center"/>
          </w:tcPr>
          <w:p>
            <w:pPr>
              <w:spacing w:after="20"/>
            </w:pPr>
            <w:r>
              <w:rPr>
                <w:color w:val="1F2937"/>
                <w:sz w:val="17"/>
              </w:rPr>
              <w:t>Weather recency</w:t>
            </w:r>
          </w:p>
        </w:tc>
        <w:tc>
          <w:tcPr>
            <w:tcW w:type="dxa" w:w="4831"/>
            <w:vAlign w:val="center"/>
          </w:tcPr>
          <w:p>
            <w:pPr>
              <w:spacing w:after="20"/>
            </w:pPr>
            <w:r>
              <w:rPr>
                <w:color w:val="1F2937"/>
                <w:sz w:val="17"/>
              </w:rPr>
              <w:t>Historical observations stop on 2024-06-21; the app does not ingest present-day weather.</w:t>
            </w:r>
          </w:p>
        </w:tc>
      </w:tr>
      <w:tr>
        <w:tc>
          <w:tcPr>
            <w:tcW w:type="dxa" w:w="4831"/>
            <w:vAlign w:val="center"/>
            <w:shd w:fill="F1F5F9"/>
          </w:tcPr>
          <w:p>
            <w:pPr>
              <w:spacing w:after="20"/>
            </w:pPr>
            <w:r>
              <w:rPr>
                <w:color w:val="1F2937"/>
                <w:sz w:val="17"/>
              </w:rPr>
              <w:t>Source citation</w:t>
            </w:r>
          </w:p>
        </w:tc>
        <w:tc>
          <w:tcPr>
            <w:tcW w:type="dxa" w:w="4831"/>
            <w:vAlign w:val="center"/>
            <w:shd w:fill="F1F5F9"/>
          </w:tcPr>
          <w:p>
            <w:pPr>
              <w:spacing w:after="20"/>
            </w:pPr>
            <w:r>
              <w:rPr>
                <w:color w:val="1F2937"/>
                <w:sz w:val="17"/>
              </w:rPr>
              <w:t>The exact OpenCity catalog record, license, and retrieval date need confirmation.</w:t>
            </w:r>
          </w:p>
        </w:tc>
      </w:tr>
      <w:tr>
        <w:tc>
          <w:tcPr>
            <w:tcW w:type="dxa" w:w="4831"/>
            <w:vAlign w:val="center"/>
          </w:tcPr>
          <w:p>
            <w:pPr>
              <w:spacing w:after="20"/>
            </w:pPr>
            <w:r>
              <w:rPr>
                <w:color w:val="1F2937"/>
                <w:sz w:val="17"/>
              </w:rPr>
              <w:t>Gemini</w:t>
            </w:r>
          </w:p>
        </w:tc>
        <w:tc>
          <w:tcPr>
            <w:tcW w:type="dxa" w:w="4831"/>
            <w:vAlign w:val="center"/>
          </w:tcPr>
          <w:p>
            <w:pPr>
              <w:spacing w:after="20"/>
            </w:pPr>
            <w:r>
              <w:rPr>
                <w:color w:val="1F2937"/>
                <w:sz w:val="17"/>
              </w:rPr>
              <w:t>Fallback was exercised; external provider success was not verified in the recorded integration run.</w:t>
            </w:r>
          </w:p>
        </w:tc>
      </w:tr>
      <w:tr>
        <w:tc>
          <w:tcPr>
            <w:tcW w:type="dxa" w:w="4831"/>
            <w:vAlign w:val="center"/>
            <w:shd w:fill="F1F5F9"/>
          </w:tcPr>
          <w:p>
            <w:pPr>
              <w:spacing w:after="20"/>
            </w:pPr>
            <w:r>
              <w:rPr>
                <w:color w:val="1F2937"/>
                <w:sz w:val="17"/>
              </w:rPr>
              <w:t>Longer-horizon output</w:t>
            </w:r>
          </w:p>
        </w:tc>
        <w:tc>
          <w:tcPr>
            <w:tcW w:type="dxa" w:w="4831"/>
            <w:vAlign w:val="center"/>
            <w:shd w:fill="F1F5F9"/>
          </w:tcPr>
          <w:p>
            <w:pPr>
              <w:spacing w:after="20"/>
            </w:pPr>
            <w:r>
              <w:rPr>
                <w:color w:val="1F2937"/>
                <w:sz w:val="17"/>
              </w:rPr>
              <w:t>The multi-step endpoint exists, but its output has not been validated as a meteorological forecast product.</w:t>
            </w:r>
          </w:p>
        </w:tc>
      </w:tr>
      <w:tr>
        <w:tc>
          <w:tcPr>
            <w:tcW w:type="dxa" w:w="4831"/>
            <w:vAlign w:val="center"/>
          </w:tcPr>
          <w:p>
            <w:pPr>
              <w:spacing w:after="20"/>
            </w:pPr>
            <w:r>
              <w:rPr>
                <w:color w:val="1F2937"/>
                <w:sz w:val="17"/>
              </w:rPr>
              <w:t>Scenario output</w:t>
            </w:r>
          </w:p>
        </w:tc>
        <w:tc>
          <w:tcPr>
            <w:tcW w:type="dxa" w:w="4831"/>
            <w:vAlign w:val="center"/>
          </w:tcPr>
          <w:p>
            <w:pPr>
              <w:spacing w:after="20"/>
            </w:pPr>
            <w:r>
              <w:rPr>
                <w:color w:val="1F2937"/>
                <w:sz w:val="17"/>
              </w:rPr>
              <w:t>Input perturbation is a model demonstration, not a validated climate projection.</w:t>
            </w:r>
          </w:p>
        </w:tc>
      </w:tr>
      <w:tr>
        <w:tc>
          <w:tcPr>
            <w:tcW w:type="dxa" w:w="4831"/>
            <w:vAlign w:val="center"/>
            <w:shd w:fill="F1F5F9"/>
          </w:tcPr>
          <w:p>
            <w:pPr>
              <w:spacing w:after="20"/>
            </w:pPr>
            <w:r>
              <w:rPr>
                <w:color w:val="1F2937"/>
                <w:sz w:val="17"/>
              </w:rPr>
              <w:t>Alert behavior</w:t>
            </w:r>
          </w:p>
        </w:tc>
        <w:tc>
          <w:tcPr>
            <w:tcW w:type="dxa" w:w="4831"/>
            <w:vAlign w:val="center"/>
            <w:shd w:fill="F1F5F9"/>
          </w:tcPr>
          <w:p>
            <w:pPr>
              <w:spacing w:after="20"/>
            </w:pPr>
            <w:r>
              <w:rPr>
                <w:color w:val="1F2937"/>
                <w:sz w:val="17"/>
              </w:rPr>
              <w:t>The endpoint returns a simulated receipt only; it does not transmit an alert.</w:t>
            </w:r>
          </w:p>
        </w:tc>
      </w:tr>
    </w:tbl>
    <w:p>
      <w:pPr>
        <w:spacing w:after="20"/>
      </w:pPr>
    </w:p>
    <w:p>
      <w:pPr>
        <w:pStyle w:val="Heading1"/>
        <w:keepNext/>
      </w:pPr>
      <w:r>
        <w:t>8. Project files and source notes</w:t>
      </w:r>
    </w:p>
    <w:tbl>
      <w:tblPr>
        <w:tblStyle w:val="TableGrid"/>
        <w:tblW w:type="auto" w:w="0"/>
        <w:jc w:val="center"/>
        <w:tblLook w:firstColumn="1" w:firstRow="1" w:lastColumn="0" w:lastRow="0" w:noHBand="0" w:noVBand="1" w:val="04A0"/>
      </w:tblPr>
      <w:tblGrid>
        <w:gridCol w:w="4831"/>
        <w:gridCol w:w="4831"/>
      </w:tblGrid>
      <w:tr>
        <w:tc>
          <w:tcPr>
            <w:tcW w:type="dxa" w:w="4831"/>
            <w:shd w:fill="142B4A"/>
            <w:vAlign w:val="center"/>
          </w:tcPr>
          <w:p>
            <w:r>
              <w:rPr>
                <w:b/>
                <w:color w:val="FFFFFF"/>
                <w:sz w:val="17"/>
              </w:rPr>
              <w:t>Path</w:t>
            </w:r>
          </w:p>
        </w:tc>
        <w:tc>
          <w:tcPr>
            <w:tcW w:type="dxa" w:w="4831"/>
            <w:shd w:fill="142B4A"/>
            <w:vAlign w:val="center"/>
          </w:tcPr>
          <w:p>
            <w:r>
              <w:rPr>
                <w:b/>
                <w:color w:val="FFFFFF"/>
                <w:sz w:val="17"/>
              </w:rPr>
              <w:t>Role</w:t>
            </w:r>
          </w:p>
        </w:tc>
      </w:tr>
      <w:tr>
        <w:tc>
          <w:tcPr>
            <w:tcW w:type="dxa" w:w="4831"/>
            <w:vAlign w:val="center"/>
          </w:tcPr>
          <w:p>
            <w:pPr>
              <w:spacing w:after="20"/>
            </w:pPr>
            <w:r>
              <w:rPr>
                <w:color w:val="1F2937"/>
                <w:sz w:val="17"/>
              </w:rPr>
              <w:t>`data/heatguard_clean.csv`</w:t>
            </w:r>
          </w:p>
        </w:tc>
        <w:tc>
          <w:tcPr>
            <w:tcW w:type="dxa" w:w="4831"/>
            <w:vAlign w:val="center"/>
          </w:tcPr>
          <w:p>
            <w:pPr>
              <w:spacing w:after="20"/>
            </w:pPr>
            <w:r>
              <w:rPr>
                <w:color w:val="1F2937"/>
                <w:sz w:val="17"/>
              </w:rPr>
              <w:t>Cleaned historical observations used by application services.</w:t>
            </w:r>
          </w:p>
        </w:tc>
      </w:tr>
      <w:tr>
        <w:tc>
          <w:tcPr>
            <w:tcW w:type="dxa" w:w="4831"/>
            <w:vAlign w:val="center"/>
            <w:shd w:fill="F1F5F9"/>
          </w:tcPr>
          <w:p>
            <w:pPr>
              <w:spacing w:after="20"/>
            </w:pPr>
            <w:r>
              <w:rPr>
                <w:color w:val="1F2937"/>
                <w:sz w:val="17"/>
              </w:rPr>
              <w:t>`data/cleaning_report.json`, `data/feature_report.json`, `data/feature_schema.json`</w:t>
            </w:r>
          </w:p>
        </w:tc>
        <w:tc>
          <w:tcPr>
            <w:tcW w:type="dxa" w:w="4831"/>
            <w:vAlign w:val="center"/>
            <w:shd w:fill="F1F5F9"/>
          </w:tcPr>
          <w:p>
            <w:pPr>
              <w:spacing w:after="20"/>
            </w:pPr>
            <w:r>
              <w:rPr>
                <w:color w:val="1F2937"/>
                <w:sz w:val="17"/>
              </w:rPr>
              <w:t>Cleaning, feature, and validation records.</w:t>
            </w:r>
          </w:p>
        </w:tc>
      </w:tr>
      <w:tr>
        <w:tc>
          <w:tcPr>
            <w:tcW w:type="dxa" w:w="4831"/>
            <w:vAlign w:val="center"/>
          </w:tcPr>
          <w:p>
            <w:pPr>
              <w:spacing w:after="20"/>
            </w:pPr>
            <w:r>
              <w:rPr>
                <w:color w:val="1F2937"/>
                <w:sz w:val="17"/>
              </w:rPr>
              <w:t>`data_cleaning/Data_cleaner.py`, `data_cleaning/feature_eng.py`</w:t>
            </w:r>
          </w:p>
        </w:tc>
        <w:tc>
          <w:tcPr>
            <w:tcW w:type="dxa" w:w="4831"/>
            <w:vAlign w:val="center"/>
          </w:tcPr>
          <w:p>
            <w:pPr>
              <w:spacing w:after="20"/>
            </w:pPr>
            <w:r>
              <w:rPr>
                <w:color w:val="1F2937"/>
                <w:sz w:val="17"/>
              </w:rPr>
              <w:t>Cleaning and temporal feature construction.</w:t>
            </w:r>
          </w:p>
        </w:tc>
      </w:tr>
      <w:tr>
        <w:tc>
          <w:tcPr>
            <w:tcW w:type="dxa" w:w="4831"/>
            <w:vAlign w:val="center"/>
            <w:shd w:fill="F1F5F9"/>
          </w:tcPr>
          <w:p>
            <w:pPr>
              <w:spacing w:after="20"/>
            </w:pPr>
            <w:r>
              <w:rPr>
                <w:color w:val="1F2937"/>
                <w:sz w:val="17"/>
              </w:rPr>
              <w:t>`models/hybrid_engine.py`, `models/saved/hybrid_predictor.pkl`</w:t>
            </w:r>
          </w:p>
        </w:tc>
        <w:tc>
          <w:tcPr>
            <w:tcW w:type="dxa" w:w="4831"/>
            <w:vAlign w:val="center"/>
            <w:shd w:fill="F1F5F9"/>
          </w:tcPr>
          <w:p>
            <w:pPr>
              <w:spacing w:after="20"/>
            </w:pPr>
            <w:r>
              <w:rPr>
                <w:color w:val="1F2937"/>
                <w:sz w:val="17"/>
              </w:rPr>
              <w:t>Current model implementation and fitted artifact.</w:t>
            </w:r>
          </w:p>
        </w:tc>
      </w:tr>
      <w:tr>
        <w:tc>
          <w:tcPr>
            <w:tcW w:type="dxa" w:w="4831"/>
            <w:vAlign w:val="center"/>
          </w:tcPr>
          <w:p>
            <w:pPr>
              <w:spacing w:after="20"/>
            </w:pPr>
            <w:r>
              <w:rPr>
                <w:color w:val="1F2937"/>
                <w:sz w:val="17"/>
              </w:rPr>
              <w:t>`data/hybrid_report.md`, `data/hybrid_metrics.json`</w:t>
            </w:r>
          </w:p>
        </w:tc>
        <w:tc>
          <w:tcPr>
            <w:tcW w:type="dxa" w:w="4831"/>
            <w:vAlign w:val="center"/>
          </w:tcPr>
          <w:p>
            <w:pPr>
              <w:spacing w:after="20"/>
            </w:pPr>
            <w:r>
              <w:rPr>
                <w:color w:val="1F2937"/>
                <w:sz w:val="17"/>
              </w:rPr>
              <w:t>Recomputed evaluation for the saved runtime model.</w:t>
            </w:r>
          </w:p>
        </w:tc>
      </w:tr>
      <w:tr>
        <w:tc>
          <w:tcPr>
            <w:tcW w:type="dxa" w:w="4831"/>
            <w:vAlign w:val="center"/>
            <w:shd w:fill="F1F5F9"/>
          </w:tcPr>
          <w:p>
            <w:pPr>
              <w:spacing w:after="20"/>
            </w:pPr>
            <w:r>
              <w:rPr>
                <w:color w:val="1F2937"/>
                <w:sz w:val="17"/>
              </w:rPr>
              <w:t>`services/prediction_service.py`, `services/analytics_service.py`</w:t>
            </w:r>
          </w:p>
        </w:tc>
        <w:tc>
          <w:tcPr>
            <w:tcW w:type="dxa" w:w="4831"/>
            <w:vAlign w:val="center"/>
            <w:shd w:fill="F1F5F9"/>
          </w:tcPr>
          <w:p>
            <w:pPr>
              <w:spacing w:after="20"/>
            </w:pPr>
            <w:r>
              <w:rPr>
                <w:color w:val="1F2937"/>
                <w:sz w:val="17"/>
              </w:rPr>
              <w:t>Historical inference and climate summaries.</w:t>
            </w:r>
          </w:p>
        </w:tc>
      </w:tr>
      <w:tr>
        <w:tc>
          <w:tcPr>
            <w:tcW w:type="dxa" w:w="4831"/>
            <w:vAlign w:val="center"/>
          </w:tcPr>
          <w:p>
            <w:pPr>
              <w:spacing w:after="20"/>
            </w:pPr>
            <w:r>
              <w:rPr>
                <w:color w:val="1F2937"/>
                <w:sz w:val="17"/>
              </w:rPr>
              <w:t>`services/genai_service.py`</w:t>
            </w:r>
          </w:p>
        </w:tc>
        <w:tc>
          <w:tcPr>
            <w:tcW w:type="dxa" w:w="4831"/>
            <w:vAlign w:val="center"/>
          </w:tcPr>
          <w:p>
            <w:pPr>
              <w:spacing w:after="20"/>
            </w:pPr>
            <w:r>
              <w:rPr>
                <w:color w:val="1F2937"/>
                <w:sz w:val="17"/>
              </w:rPr>
              <w:t>Persona advisories, chat, Gemini attempt, and fallback logic.</w:t>
            </w:r>
          </w:p>
        </w:tc>
      </w:tr>
      <w:tr>
        <w:tc>
          <w:tcPr>
            <w:tcW w:type="dxa" w:w="4831"/>
            <w:vAlign w:val="center"/>
            <w:shd w:fill="F1F5F9"/>
          </w:tcPr>
          <w:p>
            <w:pPr>
              <w:spacing w:after="20"/>
            </w:pPr>
            <w:r>
              <w:rPr>
                <w:color w:val="1F2937"/>
                <w:sz w:val="17"/>
              </w:rPr>
              <w:t>`app.py`, `templates/`, `static/`</w:t>
            </w:r>
          </w:p>
        </w:tc>
        <w:tc>
          <w:tcPr>
            <w:tcW w:type="dxa" w:w="4831"/>
            <w:vAlign w:val="center"/>
            <w:shd w:fill="F1F5F9"/>
          </w:tcPr>
          <w:p>
            <w:pPr>
              <w:spacing w:after="20"/>
            </w:pPr>
            <w:r>
              <w:rPr>
                <w:color w:val="1F2937"/>
                <w:sz w:val="17"/>
              </w:rPr>
              <w:t>Flask routes and browser application.</w:t>
            </w:r>
          </w:p>
        </w:tc>
      </w:tr>
      <w:tr>
        <w:tc>
          <w:tcPr>
            <w:tcW w:type="dxa" w:w="4831"/>
            <w:vAlign w:val="center"/>
          </w:tcPr>
          <w:p>
            <w:pPr>
              <w:spacing w:after="20"/>
            </w:pPr>
            <w:r>
              <w:rPr>
                <w:color w:val="1F2937"/>
                <w:sz w:val="17"/>
              </w:rPr>
              <w:t>`test_suite.py`</w:t>
            </w:r>
          </w:p>
        </w:tc>
        <w:tc>
          <w:tcPr>
            <w:tcW w:type="dxa" w:w="4831"/>
            <w:vAlign w:val="center"/>
          </w:tcPr>
          <w:p>
            <w:pPr>
              <w:spacing w:after="20"/>
            </w:pPr>
            <w:r>
              <w:rPr>
                <w:color w:val="1F2937"/>
                <w:sz w:val="17"/>
              </w:rPr>
              <w:t>Flask integration checks.</w:t>
            </w:r>
          </w:p>
        </w:tc>
      </w:tr>
    </w:tbl>
    <w:p>
      <w:pPr>
        <w:spacing w:after="20"/>
      </w:pPr>
    </w:p>
    <w:p>
      <w:pPr>
        <w:spacing w:after="40" w:line="259" w:lineRule="auto"/>
      </w:pPr>
      <w:r>
        <w:t>OpenCity Urban Data Portal: https://data.opencity.in/ — portal homepage reference. The exact dataset record and its license were not retained in the repository and should be added to any formal citation.</w:t>
      </w:r>
    </w:p>
    <w:sectPr w:rsidR="00FC693F" w:rsidRPr="0006063C" w:rsidSect="00034616">
      <w:headerReference w:type="default" r:id="rId9"/>
      <w:footerReference w:type="default" r:id="rId10"/>
      <w:pgSz w:w="11909" w:h="16834"/>
      <w:pgMar w:top="1037"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475569"/>
        <w:sz w:val="16"/>
      </w:rPr>
      <w:t xml:space="preserve">HeatGuard AI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0F766E"/>
        <w:sz w:val="16"/>
      </w:rPr>
      <w:t>HEATGUARD AI  |  PROJECT SHOWCASE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F2937"/>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142B4A"/>
      <w:sz w:val="38"/>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ptos Display" w:hAnsi="Aptos Display" w:eastAsia="Aptos Display"/>
      <w:b/>
      <w:bCs/>
      <w:color w:val="0F766E"/>
      <w:sz w:val="26"/>
      <w:szCs w:val="26"/>
    </w:rPr>
  </w:style>
  <w:style w:type="paragraph" w:styleId="Heading3">
    <w:name w:val="heading 3"/>
    <w:basedOn w:val="Normal"/>
    <w:next w:val="Normal"/>
    <w:link w:val="Heading3Char"/>
    <w:uiPriority w:val="9"/>
    <w:unhideWhenUsed/>
    <w:qFormat/>
    <w:rsid w:val="00FC693F"/>
    <w:pPr>
      <w:keepNext/>
      <w:keepLines/>
      <w:spacing w:before="220" w:after="100"/>
      <w:outlineLvl w:val="2"/>
    </w:pPr>
    <w:rPr>
      <w:rFonts w:asciiTheme="majorHAnsi" w:eastAsiaTheme="majorEastAsia" w:hAnsiTheme="majorHAnsi" w:cstheme="majorBidi" w:ascii="Aptos" w:hAnsi="Aptos" w:eastAsia="Aptos"/>
      <w:b/>
      <w:bCs/>
      <w:color w:val="2563EB"/>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20"/>
      <w:contextualSpacing/>
    </w:pPr>
    <w:rPr>
      <w:rFonts w:asciiTheme="majorHAnsi" w:eastAsiaTheme="majorEastAsia" w:hAnsiTheme="majorHAnsi" w:cstheme="majorBidi" w:ascii="Aptos Display" w:hAnsi="Aptos Display" w:eastAsia="Aptos Display"/>
      <w:b/>
      <w:color w:val="142B4A"/>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HeatGuard AI Project Showcase Report</dc:title>
  <dc:subject>Implemented historical-data prediction, advisory, and web application</dc:subject>
  <dc:creator>Sohom Mallick; Shivam Naik; Anvita Choudhary</dc:creator>
  <cp:keywords>HeatGuard AI, historical weather, heatwave risk, machine learning, GenAI</cp:keywords>
  <dc:description>Updated to match the current saved model, source implementation, and integration checks on 2026-10-09.</dc:description>
  <cp:lastModifiedBy/>
  <cp:revision>1</cp:revision>
  <dcterms:created xsi:type="dcterms:W3CDTF">2013-12-23T23:15:00Z</dcterms:created>
  <dcterms:modified xsi:type="dcterms:W3CDTF">2013-12-23T23:15:00Z</dcterms:modified>
  <cp:category/>
</cp:coreProperties>
</file>