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23D89" w14:textId="66D1F021" w:rsidR="00D652F1" w:rsidRPr="00AE178B" w:rsidRDefault="00D652F1" w:rsidP="005650F2">
      <w:pPr>
        <w:rPr>
          <w:b/>
          <w:bCs/>
          <w:sz w:val="50"/>
          <w:szCs w:val="50"/>
        </w:rPr>
      </w:pPr>
      <w:r w:rsidRPr="00AE178B">
        <w:rPr>
          <w:b/>
          <w:bCs/>
          <w:sz w:val="50"/>
          <w:szCs w:val="50"/>
        </w:rPr>
        <w:t xml:space="preserve">Anvith S G </w:t>
      </w:r>
      <w:r w:rsidR="00AE178B">
        <w:rPr>
          <w:b/>
          <w:bCs/>
          <w:sz w:val="50"/>
          <w:szCs w:val="50"/>
        </w:rPr>
        <w:tab/>
      </w:r>
      <w:r w:rsidR="00AE178B">
        <w:rPr>
          <w:b/>
          <w:bCs/>
          <w:sz w:val="50"/>
          <w:szCs w:val="50"/>
        </w:rPr>
        <w:tab/>
      </w:r>
      <w:r w:rsidR="00AE178B">
        <w:rPr>
          <w:b/>
          <w:bCs/>
          <w:sz w:val="50"/>
          <w:szCs w:val="50"/>
        </w:rPr>
        <w:tab/>
      </w:r>
      <w:r w:rsidR="00AE178B">
        <w:rPr>
          <w:b/>
          <w:bCs/>
          <w:sz w:val="50"/>
          <w:szCs w:val="50"/>
        </w:rPr>
        <w:tab/>
      </w:r>
      <w:r w:rsidRPr="00AE178B">
        <w:rPr>
          <w:b/>
          <w:bCs/>
          <w:sz w:val="50"/>
          <w:szCs w:val="50"/>
        </w:rPr>
        <w:t>BL.EN.U4CSE22004</w:t>
      </w:r>
    </w:p>
    <w:p w14:paraId="6B3602F0" w14:textId="4A085FD8" w:rsidR="005650F2" w:rsidRPr="005650F2" w:rsidRDefault="00D652F1" w:rsidP="005650F2">
      <w:pPr>
        <w:rPr>
          <w:b/>
          <w:bCs/>
        </w:rPr>
      </w:pPr>
      <w:r w:rsidRPr="00AE178B">
        <w:rPr>
          <w:b/>
          <w:bCs/>
          <w:sz w:val="50"/>
          <w:szCs w:val="50"/>
        </w:rPr>
        <w:t xml:space="preserve">Nithish Kushal Reddy </w:t>
      </w:r>
      <w:r w:rsidRPr="00AE178B">
        <w:rPr>
          <w:b/>
          <w:bCs/>
          <w:sz w:val="50"/>
          <w:szCs w:val="50"/>
        </w:rPr>
        <w:t>BL.EN.U4CSE220</w:t>
      </w:r>
      <w:r w:rsidRPr="00AE178B">
        <w:rPr>
          <w:b/>
          <w:bCs/>
          <w:sz w:val="50"/>
          <w:szCs w:val="50"/>
        </w:rPr>
        <w:t>43</w:t>
      </w:r>
      <w:r>
        <w:rPr>
          <w:b/>
          <w:bCs/>
        </w:rPr>
        <w:br/>
      </w:r>
      <w:r>
        <w:rPr>
          <w:b/>
          <w:bCs/>
        </w:rPr>
        <w:br/>
      </w:r>
      <w:r w:rsidR="005650F2" w:rsidRPr="005650F2">
        <w:rPr>
          <w:b/>
          <w:bCs/>
        </w:rPr>
        <w:t>1. Sector Market Cap Trends</w:t>
      </w:r>
    </w:p>
    <w:p w14:paraId="121B8F13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464C964E" w14:textId="77777777" w:rsidR="005650F2" w:rsidRPr="005650F2" w:rsidRDefault="005650F2" w:rsidP="005650F2">
      <w:pPr>
        <w:numPr>
          <w:ilvl w:val="0"/>
          <w:numId w:val="16"/>
        </w:numPr>
      </w:pPr>
      <w:r w:rsidRPr="005650F2">
        <w:t>This chart displays the aggregated market capitalization of various sectors.</w:t>
      </w:r>
    </w:p>
    <w:p w14:paraId="032F1657" w14:textId="77777777" w:rsidR="005650F2" w:rsidRPr="005650F2" w:rsidRDefault="005650F2" w:rsidP="005650F2">
      <w:pPr>
        <w:numPr>
          <w:ilvl w:val="0"/>
          <w:numId w:val="16"/>
        </w:numPr>
      </w:pPr>
      <w:r w:rsidRPr="005650F2">
        <w:t>The "Financials" sector has the largest market cap, followed by "Industrials" and "Materials."</w:t>
      </w:r>
    </w:p>
    <w:p w14:paraId="4078BF94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735A5E8A" w14:textId="77777777" w:rsidR="005650F2" w:rsidRPr="005650F2" w:rsidRDefault="005650F2" w:rsidP="005650F2">
      <w:pPr>
        <w:numPr>
          <w:ilvl w:val="0"/>
          <w:numId w:val="17"/>
        </w:numPr>
      </w:pPr>
      <w:r w:rsidRPr="005650F2">
        <w:t>To identify dominant sectors in terms of overall valuation.</w:t>
      </w:r>
    </w:p>
    <w:p w14:paraId="6CE9D9CD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62558F79" w14:textId="5FC21F4B" w:rsidR="005650F2" w:rsidRDefault="005650F2" w:rsidP="005650F2">
      <w:pPr>
        <w:numPr>
          <w:ilvl w:val="0"/>
          <w:numId w:val="18"/>
        </w:numPr>
      </w:pPr>
      <w:r w:rsidRPr="005650F2">
        <w:t>Understanding market capitalization trends helps investors identify sectors with high economic significance or potential for growth.</w:t>
      </w:r>
      <w:r w:rsidR="00A06098">
        <w:br/>
      </w:r>
    </w:p>
    <w:p w14:paraId="076DF47F" w14:textId="795FE2CA" w:rsidR="005650F2" w:rsidRPr="005650F2" w:rsidRDefault="0078359A" w:rsidP="00D207FC">
      <w:r>
        <w:rPr>
          <w:noProof/>
        </w:rPr>
        <w:drawing>
          <wp:inline distT="0" distB="0" distL="0" distR="0" wp14:anchorId="6E2942E2" wp14:editId="25675D99">
            <wp:extent cx="5731510" cy="2865755"/>
            <wp:effectExtent l="0" t="0" r="2540" b="0"/>
            <wp:docPr id="78748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4FF4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2. Institutional Holdings Comparison</w:t>
      </w:r>
    </w:p>
    <w:p w14:paraId="378D16BD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3AAE14FF" w14:textId="77777777" w:rsidR="005650F2" w:rsidRPr="005650F2" w:rsidRDefault="005650F2" w:rsidP="005650F2">
      <w:pPr>
        <w:numPr>
          <w:ilvl w:val="0"/>
          <w:numId w:val="19"/>
        </w:numPr>
      </w:pPr>
      <w:r w:rsidRPr="005650F2">
        <w:t>This chart compares average changes in institutional holdings (MF, FII, DII) for each sector.</w:t>
      </w:r>
    </w:p>
    <w:p w14:paraId="4368474A" w14:textId="77777777" w:rsidR="005650F2" w:rsidRPr="005650F2" w:rsidRDefault="005650F2" w:rsidP="005650F2">
      <w:pPr>
        <w:numPr>
          <w:ilvl w:val="0"/>
          <w:numId w:val="19"/>
        </w:numPr>
      </w:pPr>
      <w:r w:rsidRPr="005650F2">
        <w:t>For example, utilities have the highest DII and MF holdings changes, while sectors like "Consumer Staples" show less activity.</w:t>
      </w:r>
    </w:p>
    <w:p w14:paraId="1283B4C2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61BA25E8" w14:textId="77777777" w:rsidR="005650F2" w:rsidRPr="005650F2" w:rsidRDefault="005650F2" w:rsidP="005650F2">
      <w:pPr>
        <w:numPr>
          <w:ilvl w:val="0"/>
          <w:numId w:val="20"/>
        </w:numPr>
      </w:pPr>
      <w:r w:rsidRPr="005650F2">
        <w:t xml:space="preserve">To </w:t>
      </w:r>
      <w:proofErr w:type="spellStart"/>
      <w:r w:rsidRPr="005650F2">
        <w:t>analyze</w:t>
      </w:r>
      <w:proofErr w:type="spellEnd"/>
      <w:r w:rsidRPr="005650F2">
        <w:t xml:space="preserve"> the confidence and investment </w:t>
      </w:r>
      <w:proofErr w:type="spellStart"/>
      <w:r w:rsidRPr="005650F2">
        <w:t>behavior</w:t>
      </w:r>
      <w:proofErr w:type="spellEnd"/>
      <w:r w:rsidRPr="005650F2">
        <w:t xml:space="preserve"> of institutional investors across sectors.</w:t>
      </w:r>
    </w:p>
    <w:p w14:paraId="3D4D0E4C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502A4B5B" w14:textId="77777777" w:rsidR="005650F2" w:rsidRDefault="005650F2" w:rsidP="005650F2">
      <w:pPr>
        <w:numPr>
          <w:ilvl w:val="0"/>
          <w:numId w:val="21"/>
        </w:numPr>
      </w:pPr>
      <w:r w:rsidRPr="005650F2">
        <w:lastRenderedPageBreak/>
        <w:t>Institutional holdings reflect market confidence and potential growth prospects. Monitoring these trends helps in evaluating investor sentiments.</w:t>
      </w:r>
    </w:p>
    <w:p w14:paraId="0199C26C" w14:textId="6E8C4F8D" w:rsidR="005650F2" w:rsidRPr="005650F2" w:rsidRDefault="004913D0" w:rsidP="00D207FC">
      <w:r>
        <w:rPr>
          <w:noProof/>
        </w:rPr>
        <w:drawing>
          <wp:inline distT="0" distB="0" distL="0" distR="0" wp14:anchorId="37AB0591" wp14:editId="5B4D3DC7">
            <wp:extent cx="5731510" cy="2865755"/>
            <wp:effectExtent l="0" t="0" r="2540" b="0"/>
            <wp:docPr id="273058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4CFB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3. Top-Performing Sectors: Market Cap and EPS</w:t>
      </w:r>
    </w:p>
    <w:p w14:paraId="3FC9DEF3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3E7AE43C" w14:textId="77777777" w:rsidR="005650F2" w:rsidRPr="005650F2" w:rsidRDefault="005650F2" w:rsidP="005650F2">
      <w:pPr>
        <w:numPr>
          <w:ilvl w:val="0"/>
          <w:numId w:val="22"/>
        </w:numPr>
      </w:pPr>
      <w:r w:rsidRPr="005650F2">
        <w:t>This chart highlights the sectors with high market capitalization alongside EPS trends.</w:t>
      </w:r>
    </w:p>
    <w:p w14:paraId="0B9295C3" w14:textId="77777777" w:rsidR="005650F2" w:rsidRPr="005650F2" w:rsidRDefault="005650F2" w:rsidP="005650F2">
      <w:pPr>
        <w:numPr>
          <w:ilvl w:val="0"/>
          <w:numId w:val="22"/>
        </w:numPr>
      </w:pPr>
      <w:r w:rsidRPr="005650F2">
        <w:t>For example, "Energy" has a high market cap but moderate EPS, whereas "Financials" show robust EPS growth.</w:t>
      </w:r>
    </w:p>
    <w:p w14:paraId="118803A7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2A00DEC8" w14:textId="77777777" w:rsidR="005650F2" w:rsidRPr="005650F2" w:rsidRDefault="005650F2" w:rsidP="005650F2">
      <w:pPr>
        <w:numPr>
          <w:ilvl w:val="0"/>
          <w:numId w:val="23"/>
        </w:numPr>
      </w:pPr>
      <w:r w:rsidRPr="005650F2">
        <w:t>To compare valuation (Market Cap) with profitability (EPS) trends across sectors.</w:t>
      </w:r>
    </w:p>
    <w:p w14:paraId="7E6F7293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10850369" w14:textId="0EE56984" w:rsidR="004367B4" w:rsidRDefault="005650F2" w:rsidP="004367B4">
      <w:pPr>
        <w:numPr>
          <w:ilvl w:val="0"/>
          <w:numId w:val="24"/>
        </w:numPr>
      </w:pPr>
      <w:r w:rsidRPr="005650F2">
        <w:t>High market cap sectors with strong EPS growth are likely to provide sustainable investment opportunities.</w:t>
      </w:r>
    </w:p>
    <w:p w14:paraId="41563E4D" w14:textId="17D4C1D8" w:rsidR="005650F2" w:rsidRPr="005650F2" w:rsidRDefault="004367B4" w:rsidP="00D207FC">
      <w:r>
        <w:rPr>
          <w:noProof/>
        </w:rPr>
        <w:drawing>
          <wp:inline distT="0" distB="0" distL="0" distR="0" wp14:anchorId="722962DE" wp14:editId="0136DB9A">
            <wp:extent cx="5731510" cy="3439160"/>
            <wp:effectExtent l="0" t="0" r="2540" b="8890"/>
            <wp:docPr id="1964877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EDEF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4. Average EPS Growth by Sector</w:t>
      </w:r>
    </w:p>
    <w:p w14:paraId="4CD4BB1F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181B712D" w14:textId="77777777" w:rsidR="005650F2" w:rsidRPr="005650F2" w:rsidRDefault="005650F2" w:rsidP="005650F2">
      <w:pPr>
        <w:numPr>
          <w:ilvl w:val="0"/>
          <w:numId w:val="25"/>
        </w:numPr>
      </w:pPr>
      <w:r w:rsidRPr="005650F2">
        <w:t>This chart compares average EPS growth across sectors.</w:t>
      </w:r>
    </w:p>
    <w:p w14:paraId="6FD187D0" w14:textId="77777777" w:rsidR="005650F2" w:rsidRPr="005650F2" w:rsidRDefault="005650F2" w:rsidP="005650F2">
      <w:pPr>
        <w:numPr>
          <w:ilvl w:val="0"/>
          <w:numId w:val="25"/>
        </w:numPr>
      </w:pPr>
      <w:r w:rsidRPr="005650F2">
        <w:t>"Financials" and "Industrials" have the highest EPS growth, indicating strong profitability growth trends.</w:t>
      </w:r>
    </w:p>
    <w:p w14:paraId="545426CE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3B618A92" w14:textId="77777777" w:rsidR="005650F2" w:rsidRPr="005650F2" w:rsidRDefault="005650F2" w:rsidP="005650F2">
      <w:pPr>
        <w:numPr>
          <w:ilvl w:val="0"/>
          <w:numId w:val="26"/>
        </w:numPr>
      </w:pPr>
      <w:r w:rsidRPr="005650F2">
        <w:t>To identify sectors with significant profit growth over time.</w:t>
      </w:r>
    </w:p>
    <w:p w14:paraId="280DE5CC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38358605" w14:textId="77777777" w:rsidR="005650F2" w:rsidRDefault="005650F2" w:rsidP="005650F2">
      <w:pPr>
        <w:numPr>
          <w:ilvl w:val="0"/>
          <w:numId w:val="27"/>
        </w:numPr>
      </w:pPr>
      <w:r w:rsidRPr="005650F2">
        <w:t>EPS growth reflects the company's ability to generate profit, crucial for long-term investment decisions.</w:t>
      </w:r>
    </w:p>
    <w:p w14:paraId="78634F85" w14:textId="581D4B6B" w:rsidR="005650F2" w:rsidRPr="005650F2" w:rsidRDefault="00562D37" w:rsidP="00D207FC">
      <w:r>
        <w:rPr>
          <w:noProof/>
        </w:rPr>
        <w:drawing>
          <wp:inline distT="0" distB="0" distL="0" distR="0" wp14:anchorId="78739824" wp14:editId="2887B7CD">
            <wp:extent cx="5731510" cy="3439160"/>
            <wp:effectExtent l="0" t="0" r="2540" b="8890"/>
            <wp:docPr id="191375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9C20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5. Average Dividend Per Share by Sector and Recommendation Level</w:t>
      </w:r>
    </w:p>
    <w:p w14:paraId="20E84660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09E0A70C" w14:textId="77777777" w:rsidR="005650F2" w:rsidRPr="005650F2" w:rsidRDefault="005650F2" w:rsidP="005650F2">
      <w:pPr>
        <w:numPr>
          <w:ilvl w:val="0"/>
          <w:numId w:val="28"/>
        </w:numPr>
      </w:pPr>
      <w:r w:rsidRPr="005650F2">
        <w:t>This chart shows average dividend distribution by sector and recommendation level (R2: 0, 1, 2).</w:t>
      </w:r>
    </w:p>
    <w:p w14:paraId="0A75267E" w14:textId="77777777" w:rsidR="005650F2" w:rsidRPr="005650F2" w:rsidRDefault="005650F2" w:rsidP="005650F2">
      <w:pPr>
        <w:numPr>
          <w:ilvl w:val="0"/>
          <w:numId w:val="28"/>
        </w:numPr>
      </w:pPr>
      <w:r w:rsidRPr="005650F2">
        <w:t>For example, "Health Care" has high dividend payouts, especially for highly recommended stocks (R2=2).</w:t>
      </w:r>
    </w:p>
    <w:p w14:paraId="4B526CEA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34292F3D" w14:textId="77777777" w:rsidR="005650F2" w:rsidRPr="005650F2" w:rsidRDefault="005650F2" w:rsidP="005650F2">
      <w:pPr>
        <w:numPr>
          <w:ilvl w:val="0"/>
          <w:numId w:val="29"/>
        </w:numPr>
      </w:pPr>
      <w:r w:rsidRPr="005650F2">
        <w:t>To evaluate the dividend-friendliness of sectors and compare their appeal to dividend-seeking investors.</w:t>
      </w:r>
    </w:p>
    <w:p w14:paraId="2B061605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23879602" w14:textId="77777777" w:rsidR="005650F2" w:rsidRDefault="005650F2" w:rsidP="005650F2">
      <w:pPr>
        <w:numPr>
          <w:ilvl w:val="0"/>
          <w:numId w:val="30"/>
        </w:numPr>
      </w:pPr>
      <w:r w:rsidRPr="005650F2">
        <w:t>Dividends are a key indicator of financial stability and shareholder return. Investors focused on income rely on these trends.</w:t>
      </w:r>
    </w:p>
    <w:p w14:paraId="23929C8D" w14:textId="76E31A70" w:rsidR="005650F2" w:rsidRPr="005650F2" w:rsidRDefault="00522B1E" w:rsidP="00D207FC">
      <w:r>
        <w:rPr>
          <w:noProof/>
        </w:rPr>
        <w:drawing>
          <wp:inline distT="0" distB="0" distL="0" distR="0" wp14:anchorId="4670BF06" wp14:editId="0FBB6586">
            <wp:extent cx="5731510" cy="3439160"/>
            <wp:effectExtent l="0" t="0" r="2540" b="8890"/>
            <wp:docPr id="737960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8E2F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6. Average Debt-to-Asset Ratio by Sector and Recommendation Level</w:t>
      </w:r>
    </w:p>
    <w:p w14:paraId="0D378D6D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273934BD" w14:textId="77777777" w:rsidR="005650F2" w:rsidRPr="005650F2" w:rsidRDefault="005650F2" w:rsidP="005650F2">
      <w:pPr>
        <w:numPr>
          <w:ilvl w:val="0"/>
          <w:numId w:val="31"/>
        </w:numPr>
      </w:pPr>
      <w:r w:rsidRPr="005650F2">
        <w:t>This chart compares the average debt-to-asset ratio across sectors for different recommendation levels.</w:t>
      </w:r>
    </w:p>
    <w:p w14:paraId="58A8FB98" w14:textId="77777777" w:rsidR="005650F2" w:rsidRPr="005650F2" w:rsidRDefault="005650F2" w:rsidP="005650F2">
      <w:pPr>
        <w:numPr>
          <w:ilvl w:val="0"/>
          <w:numId w:val="31"/>
        </w:numPr>
      </w:pPr>
      <w:r w:rsidRPr="005650F2">
        <w:t>"Utilities" and "Materials" have higher debt-to-asset ratios, which may indicate leveraged operations.</w:t>
      </w:r>
    </w:p>
    <w:p w14:paraId="65C8D440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648399E0" w14:textId="77777777" w:rsidR="005650F2" w:rsidRPr="005650F2" w:rsidRDefault="005650F2" w:rsidP="005650F2">
      <w:pPr>
        <w:numPr>
          <w:ilvl w:val="0"/>
          <w:numId w:val="32"/>
        </w:numPr>
      </w:pPr>
      <w:r w:rsidRPr="005650F2">
        <w:t>To assess financial stability and risk levels across sectors.</w:t>
      </w:r>
    </w:p>
    <w:p w14:paraId="27B32588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1EB38F40" w14:textId="77777777" w:rsidR="005650F2" w:rsidRDefault="005650F2" w:rsidP="005650F2">
      <w:pPr>
        <w:numPr>
          <w:ilvl w:val="0"/>
          <w:numId w:val="33"/>
        </w:numPr>
      </w:pPr>
      <w:r w:rsidRPr="005650F2">
        <w:t>Sectors with lower debt-to-asset ratios are generally less risky for investment, especially in volatile markets.</w:t>
      </w:r>
    </w:p>
    <w:p w14:paraId="698B509B" w14:textId="017A4156" w:rsidR="005650F2" w:rsidRPr="005650F2" w:rsidRDefault="00FE3DD9" w:rsidP="00D207FC">
      <w:r>
        <w:rPr>
          <w:noProof/>
        </w:rPr>
        <w:drawing>
          <wp:inline distT="0" distB="0" distL="0" distR="0" wp14:anchorId="5153B0E7" wp14:editId="5E8267E8">
            <wp:extent cx="5731510" cy="3439160"/>
            <wp:effectExtent l="0" t="0" r="2540" b="8890"/>
            <wp:docPr id="1269455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39A7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7. Average Institutional Holding Change by Recommendation Level</w:t>
      </w:r>
    </w:p>
    <w:p w14:paraId="3DD0925C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058BB355" w14:textId="77777777" w:rsidR="005650F2" w:rsidRPr="005650F2" w:rsidRDefault="005650F2" w:rsidP="005650F2">
      <w:pPr>
        <w:numPr>
          <w:ilvl w:val="0"/>
          <w:numId w:val="34"/>
        </w:numPr>
      </w:pPr>
      <w:r w:rsidRPr="005650F2">
        <w:t>This chart shows how institutional holdings (MF, FII, DII) vary with recommendation levels.</w:t>
      </w:r>
    </w:p>
    <w:p w14:paraId="5B6B8A89" w14:textId="77777777" w:rsidR="005650F2" w:rsidRPr="005650F2" w:rsidRDefault="005650F2" w:rsidP="005650F2">
      <w:pPr>
        <w:numPr>
          <w:ilvl w:val="0"/>
          <w:numId w:val="34"/>
        </w:numPr>
      </w:pPr>
      <w:r w:rsidRPr="005650F2">
        <w:t>Stocks with a recommendation level of R2=2 have the highest institutional interest.</w:t>
      </w:r>
    </w:p>
    <w:p w14:paraId="47AE8E9F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0EA25656" w14:textId="77777777" w:rsidR="005650F2" w:rsidRPr="005650F2" w:rsidRDefault="005650F2" w:rsidP="005650F2">
      <w:pPr>
        <w:numPr>
          <w:ilvl w:val="0"/>
          <w:numId w:val="35"/>
        </w:numPr>
      </w:pPr>
      <w:r w:rsidRPr="005650F2">
        <w:t>To connect recommendation levels with institutional confidence.</w:t>
      </w:r>
    </w:p>
    <w:p w14:paraId="04D6DC4A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41CDBB74" w14:textId="77777777" w:rsidR="005650F2" w:rsidRDefault="005650F2" w:rsidP="005650F2">
      <w:pPr>
        <w:numPr>
          <w:ilvl w:val="0"/>
          <w:numId w:val="36"/>
        </w:numPr>
      </w:pPr>
      <w:r w:rsidRPr="005650F2">
        <w:t xml:space="preserve">High institutional interest in R2=2 stocks </w:t>
      </w:r>
      <w:proofErr w:type="gramStart"/>
      <w:r w:rsidRPr="005650F2">
        <w:t>confirms</w:t>
      </w:r>
      <w:proofErr w:type="gramEnd"/>
      <w:r w:rsidRPr="005650F2">
        <w:t xml:space="preserve"> alignment between expert recommendations and investor confidence.</w:t>
      </w:r>
    </w:p>
    <w:p w14:paraId="0C9D304E" w14:textId="4A294374" w:rsidR="005650F2" w:rsidRPr="005650F2" w:rsidRDefault="00A74C72" w:rsidP="00D207FC">
      <w:r>
        <w:rPr>
          <w:noProof/>
        </w:rPr>
        <w:drawing>
          <wp:inline distT="0" distB="0" distL="0" distR="0" wp14:anchorId="4FA99691" wp14:editId="0A60C8C4">
            <wp:extent cx="5731510" cy="3439160"/>
            <wp:effectExtent l="0" t="0" r="2540" b="8890"/>
            <wp:docPr id="401029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C7AD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8. Stock Distribution by Sector and Recommendation Level</w:t>
      </w:r>
    </w:p>
    <w:p w14:paraId="53C2F92F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79DE68E5" w14:textId="77777777" w:rsidR="005650F2" w:rsidRPr="005650F2" w:rsidRDefault="005650F2" w:rsidP="005650F2">
      <w:pPr>
        <w:numPr>
          <w:ilvl w:val="0"/>
          <w:numId w:val="37"/>
        </w:numPr>
      </w:pPr>
      <w:r w:rsidRPr="005650F2">
        <w:t>This stacked bar chart illustrates the distribution of stocks across recommendation levels for each sector.</w:t>
      </w:r>
    </w:p>
    <w:p w14:paraId="646B1DD0" w14:textId="77777777" w:rsidR="005650F2" w:rsidRPr="005650F2" w:rsidRDefault="005650F2" w:rsidP="005650F2">
      <w:pPr>
        <w:numPr>
          <w:ilvl w:val="0"/>
          <w:numId w:val="37"/>
        </w:numPr>
      </w:pPr>
      <w:r w:rsidRPr="005650F2">
        <w:t>For example, "Industrials" and "Financials" have more highly recommended stocks.</w:t>
      </w:r>
    </w:p>
    <w:p w14:paraId="7C63A1E1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15463578" w14:textId="77777777" w:rsidR="005650F2" w:rsidRPr="005650F2" w:rsidRDefault="005650F2" w:rsidP="005650F2">
      <w:pPr>
        <w:numPr>
          <w:ilvl w:val="0"/>
          <w:numId w:val="38"/>
        </w:numPr>
      </w:pPr>
      <w:r w:rsidRPr="005650F2">
        <w:t>To identify the quality of stocks within each sector based on recommendations.</w:t>
      </w:r>
    </w:p>
    <w:p w14:paraId="417DF278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17CBB013" w14:textId="5BABFBDC" w:rsidR="005650F2" w:rsidRDefault="005650F2" w:rsidP="005650F2">
      <w:pPr>
        <w:numPr>
          <w:ilvl w:val="0"/>
          <w:numId w:val="39"/>
        </w:numPr>
      </w:pPr>
      <w:r w:rsidRPr="005650F2">
        <w:t>Helps investors focus on sectors with a higher proportion of high-quality, highly recommended stocks.</w:t>
      </w:r>
    </w:p>
    <w:p w14:paraId="7C2E9181" w14:textId="2C0D905C" w:rsidR="005650F2" w:rsidRPr="005650F2" w:rsidRDefault="009F0910" w:rsidP="00D207FC">
      <w:r>
        <w:rPr>
          <w:noProof/>
        </w:rPr>
        <w:drawing>
          <wp:inline distT="0" distB="0" distL="0" distR="0" wp14:anchorId="2DA24DF2" wp14:editId="75DDE2A5">
            <wp:extent cx="5731510" cy="3439160"/>
            <wp:effectExtent l="0" t="0" r="2540" b="8890"/>
            <wp:docPr id="1115713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0271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9. Market Capitalization vs. EBITDA Margin</w:t>
      </w:r>
    </w:p>
    <w:p w14:paraId="53177733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4644CAAD" w14:textId="77777777" w:rsidR="005650F2" w:rsidRPr="005650F2" w:rsidRDefault="005650F2" w:rsidP="005650F2">
      <w:pPr>
        <w:numPr>
          <w:ilvl w:val="0"/>
          <w:numId w:val="40"/>
        </w:numPr>
      </w:pPr>
      <w:r w:rsidRPr="005650F2">
        <w:t>This scatter plot visualizes the relationship between market cap and EBITDA margin across recommendation levels.</w:t>
      </w:r>
    </w:p>
    <w:p w14:paraId="58201EF2" w14:textId="77777777" w:rsidR="005650F2" w:rsidRPr="005650F2" w:rsidRDefault="005650F2" w:rsidP="005650F2">
      <w:pPr>
        <w:numPr>
          <w:ilvl w:val="0"/>
          <w:numId w:val="40"/>
        </w:numPr>
      </w:pPr>
      <w:r w:rsidRPr="005650F2">
        <w:t>Sectors with higher EBITDA margins generally have higher market capitalizations.</w:t>
      </w:r>
    </w:p>
    <w:p w14:paraId="63500A6B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10ACA947" w14:textId="77777777" w:rsidR="005650F2" w:rsidRPr="005650F2" w:rsidRDefault="005650F2" w:rsidP="005650F2">
      <w:pPr>
        <w:numPr>
          <w:ilvl w:val="0"/>
          <w:numId w:val="41"/>
        </w:numPr>
      </w:pPr>
      <w:r w:rsidRPr="005650F2">
        <w:t>To examine the operational efficiency's impact on valuation.</w:t>
      </w:r>
    </w:p>
    <w:p w14:paraId="4AE6CCAD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1346F86B" w14:textId="77777777" w:rsidR="005650F2" w:rsidRDefault="005650F2" w:rsidP="005650F2">
      <w:pPr>
        <w:numPr>
          <w:ilvl w:val="0"/>
          <w:numId w:val="42"/>
        </w:numPr>
      </w:pPr>
      <w:r w:rsidRPr="005650F2">
        <w:t>EBITDA margin reflects operational efficiency, and its relationship with market cap indicates the valuation efficiency of sectors.</w:t>
      </w:r>
    </w:p>
    <w:p w14:paraId="6208B7E0" w14:textId="77777777" w:rsidR="00C049BC" w:rsidRDefault="00C049BC" w:rsidP="00C049BC"/>
    <w:p w14:paraId="24B4E61B" w14:textId="02726380" w:rsidR="005650F2" w:rsidRPr="005650F2" w:rsidRDefault="00C049BC" w:rsidP="00D207FC">
      <w:r>
        <w:rPr>
          <w:noProof/>
        </w:rPr>
        <w:drawing>
          <wp:inline distT="0" distB="0" distL="0" distR="0" wp14:anchorId="154061F9" wp14:editId="545AE44B">
            <wp:extent cx="5731510" cy="3439160"/>
            <wp:effectExtent l="0" t="0" r="2540" b="8890"/>
            <wp:docPr id="1067285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6D5A" w14:textId="77777777" w:rsidR="005650F2" w:rsidRPr="005650F2" w:rsidRDefault="005650F2" w:rsidP="005650F2">
      <w:pPr>
        <w:rPr>
          <w:b/>
          <w:bCs/>
        </w:rPr>
      </w:pPr>
      <w:r w:rsidRPr="005650F2">
        <w:rPr>
          <w:b/>
          <w:bCs/>
        </w:rPr>
        <w:t>10. ROE vs. ROCE by Sector</w:t>
      </w:r>
    </w:p>
    <w:p w14:paraId="6B2C03D6" w14:textId="77777777" w:rsidR="005650F2" w:rsidRPr="005650F2" w:rsidRDefault="005650F2" w:rsidP="005650F2">
      <w:r w:rsidRPr="005650F2">
        <w:rPr>
          <w:b/>
          <w:bCs/>
        </w:rPr>
        <w:t>What it says</w:t>
      </w:r>
      <w:r w:rsidRPr="005650F2">
        <w:t>:</w:t>
      </w:r>
    </w:p>
    <w:p w14:paraId="129C2966" w14:textId="77777777" w:rsidR="005650F2" w:rsidRPr="005650F2" w:rsidRDefault="005650F2" w:rsidP="005650F2">
      <w:pPr>
        <w:numPr>
          <w:ilvl w:val="0"/>
          <w:numId w:val="43"/>
        </w:numPr>
      </w:pPr>
      <w:r w:rsidRPr="005650F2">
        <w:t>This scatter plot compares Return on Equity (ROE) and Return on Capital Employed (ROCE) across sectors.</w:t>
      </w:r>
    </w:p>
    <w:p w14:paraId="0BECDCE3" w14:textId="77777777" w:rsidR="005650F2" w:rsidRPr="005650F2" w:rsidRDefault="005650F2" w:rsidP="005650F2">
      <w:pPr>
        <w:numPr>
          <w:ilvl w:val="0"/>
          <w:numId w:val="43"/>
        </w:numPr>
      </w:pPr>
      <w:r w:rsidRPr="005650F2">
        <w:t>There is a positive correlation, with some sectors like "Financials" showing exceptional efficiency.</w:t>
      </w:r>
    </w:p>
    <w:p w14:paraId="18E2B819" w14:textId="77777777" w:rsidR="005650F2" w:rsidRPr="005650F2" w:rsidRDefault="005650F2" w:rsidP="005650F2">
      <w:r w:rsidRPr="005650F2">
        <w:rPr>
          <w:b/>
          <w:bCs/>
        </w:rPr>
        <w:t>Why it is drawn</w:t>
      </w:r>
      <w:r w:rsidRPr="005650F2">
        <w:t>:</w:t>
      </w:r>
    </w:p>
    <w:p w14:paraId="4CBD636F" w14:textId="77777777" w:rsidR="005650F2" w:rsidRPr="005650F2" w:rsidRDefault="005650F2" w:rsidP="005650F2">
      <w:pPr>
        <w:numPr>
          <w:ilvl w:val="0"/>
          <w:numId w:val="44"/>
        </w:numPr>
      </w:pPr>
      <w:r w:rsidRPr="005650F2">
        <w:t>To evaluate profitability and capital efficiency across sectors.</w:t>
      </w:r>
    </w:p>
    <w:p w14:paraId="189C76B0" w14:textId="77777777" w:rsidR="005650F2" w:rsidRPr="005650F2" w:rsidRDefault="005650F2" w:rsidP="005650F2">
      <w:r w:rsidRPr="005650F2">
        <w:rPr>
          <w:b/>
          <w:bCs/>
        </w:rPr>
        <w:t>Reasoning</w:t>
      </w:r>
      <w:r w:rsidRPr="005650F2">
        <w:t>:</w:t>
      </w:r>
    </w:p>
    <w:p w14:paraId="4581FDDA" w14:textId="77777777" w:rsidR="005650F2" w:rsidRDefault="005650F2" w:rsidP="005650F2">
      <w:pPr>
        <w:numPr>
          <w:ilvl w:val="0"/>
          <w:numId w:val="45"/>
        </w:numPr>
      </w:pPr>
      <w:r w:rsidRPr="005650F2">
        <w:t>ROE and ROCE together reflect the ability of a company to generate profit and utilize its capital effectively.</w:t>
      </w:r>
    </w:p>
    <w:p w14:paraId="741D6CA0" w14:textId="3213B306" w:rsidR="00F846B4" w:rsidRPr="005650F2" w:rsidRDefault="00F846B4" w:rsidP="00F846B4">
      <w:r>
        <w:rPr>
          <w:noProof/>
        </w:rPr>
        <w:drawing>
          <wp:inline distT="0" distB="0" distL="0" distR="0" wp14:anchorId="2FD5D6E8" wp14:editId="29CA5D9F">
            <wp:extent cx="5731510" cy="3439160"/>
            <wp:effectExtent l="0" t="0" r="2540" b="8890"/>
            <wp:docPr id="9326950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B64F" w14:textId="60542637" w:rsidR="006066A1" w:rsidRPr="00B441A0" w:rsidRDefault="006066A1" w:rsidP="00B441A0"/>
    <w:sectPr w:rsidR="006066A1" w:rsidRPr="00B44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01EA7"/>
    <w:multiLevelType w:val="multilevel"/>
    <w:tmpl w:val="3FF05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D6CE3"/>
    <w:multiLevelType w:val="multilevel"/>
    <w:tmpl w:val="27F4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0662"/>
    <w:multiLevelType w:val="multilevel"/>
    <w:tmpl w:val="131A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E69E5"/>
    <w:multiLevelType w:val="multilevel"/>
    <w:tmpl w:val="821A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933B22"/>
    <w:multiLevelType w:val="multilevel"/>
    <w:tmpl w:val="AB70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70957"/>
    <w:multiLevelType w:val="multilevel"/>
    <w:tmpl w:val="DC94A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65437B"/>
    <w:multiLevelType w:val="multilevel"/>
    <w:tmpl w:val="1558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B35B76"/>
    <w:multiLevelType w:val="multilevel"/>
    <w:tmpl w:val="FC98F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B6E98"/>
    <w:multiLevelType w:val="multilevel"/>
    <w:tmpl w:val="FBBA9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81895"/>
    <w:multiLevelType w:val="multilevel"/>
    <w:tmpl w:val="A63CB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13457"/>
    <w:multiLevelType w:val="multilevel"/>
    <w:tmpl w:val="61DC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866FA2"/>
    <w:multiLevelType w:val="multilevel"/>
    <w:tmpl w:val="BDB6A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CB4B54"/>
    <w:multiLevelType w:val="multilevel"/>
    <w:tmpl w:val="1E2E1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631276"/>
    <w:multiLevelType w:val="multilevel"/>
    <w:tmpl w:val="FA00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DB6483"/>
    <w:multiLevelType w:val="multilevel"/>
    <w:tmpl w:val="87508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AF1FEF"/>
    <w:multiLevelType w:val="multilevel"/>
    <w:tmpl w:val="BAD8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511B1A"/>
    <w:multiLevelType w:val="multilevel"/>
    <w:tmpl w:val="F0F2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1D2DD7"/>
    <w:multiLevelType w:val="multilevel"/>
    <w:tmpl w:val="997C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C60637"/>
    <w:multiLevelType w:val="multilevel"/>
    <w:tmpl w:val="3E6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2D6AF0"/>
    <w:multiLevelType w:val="multilevel"/>
    <w:tmpl w:val="9CA26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522C8A"/>
    <w:multiLevelType w:val="multilevel"/>
    <w:tmpl w:val="C4F6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1262AF"/>
    <w:multiLevelType w:val="multilevel"/>
    <w:tmpl w:val="4132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A71270"/>
    <w:multiLevelType w:val="multilevel"/>
    <w:tmpl w:val="FAEE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0866C9"/>
    <w:multiLevelType w:val="multilevel"/>
    <w:tmpl w:val="05EA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FB3E21"/>
    <w:multiLevelType w:val="multilevel"/>
    <w:tmpl w:val="61D0D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3242FA"/>
    <w:multiLevelType w:val="multilevel"/>
    <w:tmpl w:val="6366B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0A1792"/>
    <w:multiLevelType w:val="multilevel"/>
    <w:tmpl w:val="C016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EB3E36"/>
    <w:multiLevelType w:val="multilevel"/>
    <w:tmpl w:val="A97A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9217C5"/>
    <w:multiLevelType w:val="multilevel"/>
    <w:tmpl w:val="1DB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591B88"/>
    <w:multiLevelType w:val="multilevel"/>
    <w:tmpl w:val="ECCE3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D92F09"/>
    <w:multiLevelType w:val="multilevel"/>
    <w:tmpl w:val="67A2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422F48"/>
    <w:multiLevelType w:val="multilevel"/>
    <w:tmpl w:val="2258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AE4B35"/>
    <w:multiLevelType w:val="multilevel"/>
    <w:tmpl w:val="0B6C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743C99"/>
    <w:multiLevelType w:val="multilevel"/>
    <w:tmpl w:val="FEF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4609EC"/>
    <w:multiLevelType w:val="multilevel"/>
    <w:tmpl w:val="8286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656D57"/>
    <w:multiLevelType w:val="multilevel"/>
    <w:tmpl w:val="FDC2B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2A33B1"/>
    <w:multiLevelType w:val="multilevel"/>
    <w:tmpl w:val="B824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736F39"/>
    <w:multiLevelType w:val="multilevel"/>
    <w:tmpl w:val="525E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017DC7"/>
    <w:multiLevelType w:val="multilevel"/>
    <w:tmpl w:val="3C56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2207D5"/>
    <w:multiLevelType w:val="multilevel"/>
    <w:tmpl w:val="353A8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2C074B"/>
    <w:multiLevelType w:val="multilevel"/>
    <w:tmpl w:val="0BBA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FE767A"/>
    <w:multiLevelType w:val="multilevel"/>
    <w:tmpl w:val="039A6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681340"/>
    <w:multiLevelType w:val="multilevel"/>
    <w:tmpl w:val="42A8B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C46FE"/>
    <w:multiLevelType w:val="multilevel"/>
    <w:tmpl w:val="75E8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C9311C"/>
    <w:multiLevelType w:val="multilevel"/>
    <w:tmpl w:val="5F82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3558529">
    <w:abstractNumId w:val="37"/>
  </w:num>
  <w:num w:numId="2" w16cid:durableId="1941714279">
    <w:abstractNumId w:val="36"/>
  </w:num>
  <w:num w:numId="3" w16cid:durableId="1548108542">
    <w:abstractNumId w:val="34"/>
  </w:num>
  <w:num w:numId="4" w16cid:durableId="81076359">
    <w:abstractNumId w:val="2"/>
  </w:num>
  <w:num w:numId="5" w16cid:durableId="125513708">
    <w:abstractNumId w:val="5"/>
  </w:num>
  <w:num w:numId="6" w16cid:durableId="162161841">
    <w:abstractNumId w:val="14"/>
  </w:num>
  <w:num w:numId="7" w16cid:durableId="489908630">
    <w:abstractNumId w:val="42"/>
  </w:num>
  <w:num w:numId="8" w16cid:durableId="367730522">
    <w:abstractNumId w:val="35"/>
  </w:num>
  <w:num w:numId="9" w16cid:durableId="880436197">
    <w:abstractNumId w:val="41"/>
  </w:num>
  <w:num w:numId="10" w16cid:durableId="1150563173">
    <w:abstractNumId w:val="44"/>
  </w:num>
  <w:num w:numId="11" w16cid:durableId="475952284">
    <w:abstractNumId w:val="32"/>
  </w:num>
  <w:num w:numId="12" w16cid:durableId="1765607597">
    <w:abstractNumId w:val="29"/>
  </w:num>
  <w:num w:numId="13" w16cid:durableId="1477524592">
    <w:abstractNumId w:val="15"/>
  </w:num>
  <w:num w:numId="14" w16cid:durableId="1923639007">
    <w:abstractNumId w:val="26"/>
  </w:num>
  <w:num w:numId="15" w16cid:durableId="567377552">
    <w:abstractNumId w:val="28"/>
  </w:num>
  <w:num w:numId="16" w16cid:durableId="387539081">
    <w:abstractNumId w:val="23"/>
  </w:num>
  <w:num w:numId="17" w16cid:durableId="528690751">
    <w:abstractNumId w:val="18"/>
  </w:num>
  <w:num w:numId="18" w16cid:durableId="195242438">
    <w:abstractNumId w:val="27"/>
  </w:num>
  <w:num w:numId="19" w16cid:durableId="45112158">
    <w:abstractNumId w:val="24"/>
  </w:num>
  <w:num w:numId="20" w16cid:durableId="331489015">
    <w:abstractNumId w:val="38"/>
  </w:num>
  <w:num w:numId="21" w16cid:durableId="834147319">
    <w:abstractNumId w:val="4"/>
  </w:num>
  <w:num w:numId="22" w16cid:durableId="1830827818">
    <w:abstractNumId w:val="12"/>
  </w:num>
  <w:num w:numId="23" w16cid:durableId="1300459554">
    <w:abstractNumId w:val="40"/>
  </w:num>
  <w:num w:numId="24" w16cid:durableId="263344983">
    <w:abstractNumId w:val="10"/>
  </w:num>
  <w:num w:numId="25" w16cid:durableId="551429239">
    <w:abstractNumId w:val="43"/>
  </w:num>
  <w:num w:numId="26" w16cid:durableId="1352679497">
    <w:abstractNumId w:val="3"/>
  </w:num>
  <w:num w:numId="27" w16cid:durableId="962879442">
    <w:abstractNumId w:val="39"/>
  </w:num>
  <w:num w:numId="28" w16cid:durableId="1212351080">
    <w:abstractNumId w:val="22"/>
  </w:num>
  <w:num w:numId="29" w16cid:durableId="511801316">
    <w:abstractNumId w:val="33"/>
  </w:num>
  <w:num w:numId="30" w16cid:durableId="2040932926">
    <w:abstractNumId w:val="19"/>
  </w:num>
  <w:num w:numId="31" w16cid:durableId="518399015">
    <w:abstractNumId w:val="16"/>
  </w:num>
  <w:num w:numId="32" w16cid:durableId="452939151">
    <w:abstractNumId w:val="6"/>
  </w:num>
  <w:num w:numId="33" w16cid:durableId="1690914918">
    <w:abstractNumId w:val="13"/>
  </w:num>
  <w:num w:numId="34" w16cid:durableId="978415296">
    <w:abstractNumId w:val="11"/>
  </w:num>
  <w:num w:numId="35" w16cid:durableId="572549771">
    <w:abstractNumId w:val="7"/>
  </w:num>
  <w:num w:numId="36" w16cid:durableId="876967536">
    <w:abstractNumId w:val="8"/>
  </w:num>
  <w:num w:numId="37" w16cid:durableId="732315880">
    <w:abstractNumId w:val="0"/>
  </w:num>
  <w:num w:numId="38" w16cid:durableId="1283807498">
    <w:abstractNumId w:val="25"/>
  </w:num>
  <w:num w:numId="39" w16cid:durableId="1123959143">
    <w:abstractNumId w:val="9"/>
  </w:num>
  <w:num w:numId="40" w16cid:durableId="1406221304">
    <w:abstractNumId w:val="20"/>
  </w:num>
  <w:num w:numId="41" w16cid:durableId="1741782507">
    <w:abstractNumId w:val="30"/>
  </w:num>
  <w:num w:numId="42" w16cid:durableId="1486237196">
    <w:abstractNumId w:val="1"/>
  </w:num>
  <w:num w:numId="43" w16cid:durableId="960503250">
    <w:abstractNumId w:val="21"/>
  </w:num>
  <w:num w:numId="44" w16cid:durableId="1771121752">
    <w:abstractNumId w:val="17"/>
  </w:num>
  <w:num w:numId="45" w16cid:durableId="21440332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1A"/>
    <w:rsid w:val="00361273"/>
    <w:rsid w:val="004232B5"/>
    <w:rsid w:val="004367B4"/>
    <w:rsid w:val="00451E95"/>
    <w:rsid w:val="004913D0"/>
    <w:rsid w:val="00522B1E"/>
    <w:rsid w:val="00562D37"/>
    <w:rsid w:val="005650F2"/>
    <w:rsid w:val="006066A1"/>
    <w:rsid w:val="00625388"/>
    <w:rsid w:val="00633F1A"/>
    <w:rsid w:val="007323F9"/>
    <w:rsid w:val="0078359A"/>
    <w:rsid w:val="008C697C"/>
    <w:rsid w:val="00944242"/>
    <w:rsid w:val="009F0910"/>
    <w:rsid w:val="00A06098"/>
    <w:rsid w:val="00A74C72"/>
    <w:rsid w:val="00AE178B"/>
    <w:rsid w:val="00B173AD"/>
    <w:rsid w:val="00B3650E"/>
    <w:rsid w:val="00B441A0"/>
    <w:rsid w:val="00C049BC"/>
    <w:rsid w:val="00D207FC"/>
    <w:rsid w:val="00D652F1"/>
    <w:rsid w:val="00E266FB"/>
    <w:rsid w:val="00E36D6E"/>
    <w:rsid w:val="00F846B4"/>
    <w:rsid w:val="00FE3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9418D"/>
  <w15:chartTrackingRefBased/>
  <w15:docId w15:val="{01975AA2-713C-400C-B6E3-61A107D66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720</Words>
  <Characters>4107</Characters>
  <Application>Microsoft Office Word</Application>
  <DocSecurity>0</DocSecurity>
  <Lines>34</Lines>
  <Paragraphs>9</Paragraphs>
  <ScaleCrop>false</ScaleCrop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Anvith S G</dc:creator>
  <cp:keywords/>
  <dc:description/>
  <cp:lastModifiedBy>Anvith S G</cp:lastModifiedBy>
  <cp:revision>29</cp:revision>
  <dcterms:created xsi:type="dcterms:W3CDTF">2024-12-04T06:11:00Z</dcterms:created>
  <dcterms:modified xsi:type="dcterms:W3CDTF">2024-12-04T06:20:00Z</dcterms:modified>
</cp:coreProperties>
</file>