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Transformative Landscape of Modern Education</w:t>
      </w:r>
    </w:p>
    <w:p>
      <w:r>
        <w:t>The Transformative Landscape of Modern Education</w:t>
        <w:br/>
        <w:t>In today's fast-paced digital world, artificial intelligence plays a crucial role in revolutionizing pedagogical frameworks across educational institutions. Moreover, it is essential to consider the multifaceted nature of automated adaptive learning systems.</w:t>
        <w:br/>
        <w:br/>
        <w:t>This technological evolution serves as a testament to the dynamic landscape of modern computational innovation. Furthermore, machine learning models delve into student performance metrics to unlock personalized instructional pathways.</w:t>
        <w:br/>
        <w:br/>
        <w:t>At its core, this rich tapestry of interconnected digital tools fosters a sense of engagement among diverse learners. In conclusion, it is important to remember that ethical governance and transparent oversight remain paramount as we navigate this transformative pedagogical journey.</w:t>
      </w:r>
    </w:p>
    <w:p>
      <w:pPr>
        <w:pStyle w:val="Heading2"/>
      </w:pPr>
      <w:r>
        <w:t>Section 2: Methodological Framework</w:t>
      </w:r>
    </w:p>
    <w:p>
      <w:r>
        <w:t>Furthermore, delving into systemic algorithmic evaluations reveals significant pedagogical enhancements across universities.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