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Software Test Plan</w:t>
      </w:r>
    </w:p>
    <w:p>
      <w:pPr>
        <w:jc w:val="center"/>
      </w:pPr>
      <w:r>
        <w:rPr>
          <w:b/>
          <w:sz w:val="26"/>
        </w:rPr>
        <w:t>AI-Based Resume Matching and Job Searching Platform Using Agentic AI</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8"/>
              </w:rPr>
              <w:t>Team Member</w:t>
            </w:r>
          </w:p>
        </w:tc>
        <w:tc>
          <w:tcPr>
            <w:tcW w:type="dxa" w:w="4968"/>
            <w:shd w:fill="1F4E79"/>
          </w:tcPr>
          <w:p>
            <w:r>
              <w:rPr>
                <w:b/>
                <w:color w:val="FFFFFF"/>
                <w:sz w:val="18"/>
              </w:rPr>
              <w:t>SRN</w:t>
            </w:r>
          </w:p>
        </w:tc>
      </w:tr>
      <w:tr>
        <w:tc>
          <w:tcPr>
            <w:tcW w:type="dxa" w:w="4968"/>
          </w:tcPr>
          <w:p>
            <w:r>
              <w:rPr>
                <w:sz w:val="18"/>
              </w:rPr>
              <w:t>Anvith Vegi</w:t>
            </w:r>
          </w:p>
        </w:tc>
        <w:tc>
          <w:tcPr>
            <w:tcW w:type="dxa" w:w="4968"/>
          </w:tcPr>
          <w:p>
            <w:r>
              <w:rPr>
                <w:sz w:val="18"/>
              </w:rPr>
              <w:t>PES1UG24AM047</w:t>
            </w:r>
          </w:p>
        </w:tc>
      </w:tr>
      <w:tr>
        <w:tc>
          <w:tcPr>
            <w:tcW w:type="dxa" w:w="4968"/>
          </w:tcPr>
          <w:p>
            <w:r>
              <w:rPr>
                <w:sz w:val="18"/>
              </w:rPr>
              <w:t>Ankitha Revadala</w:t>
            </w:r>
          </w:p>
        </w:tc>
        <w:tc>
          <w:tcPr>
            <w:tcW w:type="dxa" w:w="4968"/>
          </w:tcPr>
          <w:p>
            <w:r>
              <w:rPr>
                <w:sz w:val="18"/>
              </w:rPr>
              <w:t>PES1UG24AM044</w:t>
            </w:r>
          </w:p>
        </w:tc>
      </w:tr>
      <w:tr>
        <w:tc>
          <w:tcPr>
            <w:tcW w:type="dxa" w:w="4968"/>
          </w:tcPr>
          <w:p>
            <w:r>
              <w:rPr>
                <w:sz w:val="18"/>
              </w:rPr>
              <w:t>Anirudh N</w:t>
            </w:r>
          </w:p>
        </w:tc>
        <w:tc>
          <w:tcPr>
            <w:tcW w:type="dxa" w:w="4968"/>
          </w:tcPr>
          <w:p>
            <w:r>
              <w:rPr>
                <w:sz w:val="18"/>
              </w:rPr>
              <w:t>PES1UG24AM041</w:t>
            </w:r>
          </w:p>
        </w:tc>
      </w:tr>
    </w:tbl>
    <w:sectPr w:rsidR="00FC693F" w:rsidRPr="0006063C" w:rsidSect="00034616">
      <w:pgSz w:w="12240" w:h="15840"/>
      <w:pgMar w:top="1008" w:right="1152" w:bottom="1008" w:left="1152" w:header="720" w:footer="720" w:gutter="0"/>
      <w:cols w:space="720"/>
      <w:docGrid w:linePitch="360"/>
    </w:sectPr>
    <w:p>
      <w:pPr>
        <w:jc w:val="center"/>
      </w:pPr>
      <w:r>
        <w:t>Test Plan</w:t>
        <w:br/>
        <w:t>Version 1.1 — Executed</w:t>
        <w:br/>
        <w:t>Prepared: 11 October 2026</w:t>
      </w:r>
    </w:p>
    <w:p>
      <w:r>
        <w:t>Status: Executed against the implemented prototype on 30 October 2026. Actual results, pass/fail status, evidence and defects are recorded in docs/TEST_REPORT.md and docs/DEFECT_LOG.md; measured performance is in docs/PERFORMANCE.md.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Value</w:t>
            </w:r>
          </w:p>
        </w:tc>
      </w:tr>
      <w:tr>
        <w:tc>
          <w:tcPr>
            <w:tcW w:type="dxa" w:w="4968"/>
            <w:vAlign w:val="top"/>
          </w:tcPr>
          <w:p>
            <w:r>
              <w:rPr>
                <w:sz w:val="16"/>
              </w:rPr>
              <w:t>Document ID</w:t>
            </w:r>
          </w:p>
        </w:tc>
        <w:tc>
          <w:tcPr>
            <w:tcW w:type="dxa" w:w="4968"/>
            <w:vAlign w:val="top"/>
          </w:tcPr>
          <w:p>
            <w:r>
              <w:rPr>
                <w:sz w:val="16"/>
              </w:rPr>
              <w:t>STP-ARJ-001</w:t>
            </w:r>
          </w:p>
        </w:tc>
      </w:tr>
      <w:tr>
        <w:tc>
          <w:tcPr>
            <w:tcW w:type="dxa" w:w="4968"/>
            <w:vAlign w:val="top"/>
          </w:tcPr>
          <w:p>
            <w:r>
              <w:rPr>
                <w:sz w:val="16"/>
              </w:rPr>
              <w:t>Version</w:t>
            </w:r>
          </w:p>
        </w:tc>
        <w:tc>
          <w:tcPr>
            <w:tcW w:type="dxa" w:w="4968"/>
            <w:vAlign w:val="top"/>
          </w:tcPr>
          <w:p>
            <w:r>
              <w:rPr>
                <w:sz w:val="16"/>
              </w:rPr>
              <w:t>1.1</w:t>
            </w:r>
          </w:p>
        </w:tc>
      </w:tr>
      <w:tr>
        <w:tc>
          <w:tcPr>
            <w:tcW w:type="dxa" w:w="4968"/>
            <w:vAlign w:val="top"/>
          </w:tcPr>
          <w:p>
            <w:r>
              <w:rPr>
                <w:sz w:val="16"/>
              </w:rPr>
              <w:t>Status</w:t>
            </w:r>
          </w:p>
        </w:tc>
        <w:tc>
          <w:tcPr>
            <w:tcW w:type="dxa" w:w="4968"/>
            <w:vAlign w:val="top"/>
          </w:tcPr>
          <w:p>
            <w:r>
              <w:rPr>
                <w:sz w:val="16"/>
              </w:rPr>
              <w:t>Executed (Sprint-2, 30 October 2026)</w:t>
            </w:r>
          </w:p>
        </w:tc>
      </w:tr>
      <w:tr>
        <w:tc>
          <w:tcPr>
            <w:tcW w:type="dxa" w:w="4968"/>
            <w:vAlign w:val="top"/>
          </w:tcPr>
          <w:p>
            <w:r>
              <w:rPr>
                <w:sz w:val="16"/>
              </w:rPr>
              <w:t>Requirements baseline</w:t>
            </w:r>
          </w:p>
        </w:tc>
        <w:tc>
          <w:tcPr>
            <w:tcW w:type="dxa" w:w="4968"/>
            <w:vAlign w:val="top"/>
          </w:tcPr>
          <w:p>
            <w:r>
              <w:rPr>
                <w:sz w:val="16"/>
              </w:rPr>
              <w:t>SRS-ARJ-001 v1.0</w:t>
            </w:r>
          </w:p>
        </w:tc>
      </w:tr>
      <w:tr>
        <w:tc>
          <w:tcPr>
            <w:tcW w:type="dxa" w:w="4968"/>
            <w:vAlign w:val="top"/>
          </w:tcPr>
          <w:p>
            <w:r>
              <w:rPr>
                <w:sz w:val="16"/>
              </w:rPr>
              <w:t>Test owner</w:t>
            </w:r>
          </w:p>
        </w:tc>
        <w:tc>
          <w:tcPr>
            <w:tcW w:type="dxa" w:w="4968"/>
            <w:vAlign w:val="top"/>
          </w:tcPr>
          <w:p>
            <w:r>
              <w:rPr>
                <w:sz w:val="16"/>
              </w:rPr>
              <w:t>Anvith Vegi: TC-01, TC-02, TC-09, TC-10, TC-12, SR-02, SR-07/08, NFR-06, NFR-09 · Ankitha Revadala: TC-03, TC-04, TC-05, TC-11, TC-15, FR-15, NFR-01, NFR-05, NFR-07 · Anirudh N: TC-06, TC-07, TC-08, TC-13, TC-14, NFR-02. Each owner's results are verified by a teammate (see docs/TEST_REPORT.md).</w:t>
            </w:r>
          </w:p>
        </w:tc>
      </w:tr>
      <w:tr>
        <w:tc>
          <w:tcPr>
            <w:tcW w:type="dxa" w:w="4968"/>
          </w:tcPr>
          <w:p>
            <w:r>
              <w:t>Team name</w:t>
            </w:r>
          </w:p>
        </w:tc>
        <w:tc>
          <w:tcPr>
            <w:tcW w:type="dxa" w:w="4968"/>
          </w:tcPr>
          <w:p>
            <w:r>
              <w:t>the no name group</w:t>
            </w:r>
          </w:p>
        </w:tc>
      </w:tr>
      <w:tr>
        <w:tc>
          <w:tcPr>
            <w:tcW w:type="dxa" w:w="4968"/>
          </w:tcPr>
          <w:p>
            <w:r>
              <w:t>Team members / SRNs</w:t>
            </w:r>
          </w:p>
        </w:tc>
        <w:tc>
          <w:tcPr>
            <w:tcW w:type="dxa" w:w="4968"/>
          </w:tcPr>
          <w:p>
            <w:r>
              <w:t>Anvith Vegi — PES1UG24AM047; Ankitha Revadala — PES1UG24AM044; Anirudh N — PES1UG24AM041</w:t>
            </w:r>
          </w:p>
        </w:tc>
      </w:tr>
    </w:tbl>
    <w:p>
      <w:pPr>
        <w:pStyle w:val="Heading1"/>
      </w:pPr>
      <w:r>
        <w:t>1. Introduction</w:t>
      </w:r>
    </w:p>
    <w:p>
      <w:pPr>
        <w:pStyle w:val="Heading2"/>
      </w:pPr>
      <w:r>
        <w:t>1.1 Purpose</w:t>
      </w:r>
    </w:p>
    <w:p>
      <w:r>
        <w:t>This plan defines the scope, strategy, environment, responsibilities, entry/exit criteria, and test cases for the proposed AI-based resume matching and job-search platform. It is aligned with SRS-ARJ-001 v1.0.</w:t>
      </w:r>
    </w:p>
    <w:p>
      <w:pPr>
        <w:pStyle w:val="Heading2"/>
      </w:pPr>
      <w:r>
        <w:t>1.2 Scope</w:t>
      </w:r>
    </w:p>
    <w:p>
      <w:r>
        <w:t>Testing covers registration/authentication, resume upload and parsing, job search, matching, agent orchestration, bookmarks, application tracking, authorization, error handling, performance, reliability, usability, and security. Live job-board integrations and autonomous applications are out of scope.</w:t>
      </w:r>
    </w:p>
    <w:p>
      <w:pPr>
        <w:pStyle w:val="Heading2"/>
      </w:pPr>
      <w:r>
        <w:t>1.3 References</w:t>
      </w:r>
    </w:p>
    <w:p>
      <w:pPr>
        <w:pStyle w:val="ListBullet"/>
      </w:pPr>
      <w:r>
        <w:t>SRS-ARJ-001, Version 1.0.</w:t>
      </w:r>
    </w:p>
    <w:p>
      <w:pPr>
        <w:pStyle w:val="ListBullet"/>
      </w:pPr>
      <w:r>
        <w:t>IEEE/ISO/IEC 29119 series, as guidance for test documentation.</w:t>
      </w:r>
    </w:p>
    <w:p>
      <w:pPr>
        <w:pStyle w:val="ListBullet"/>
      </w:pPr>
      <w:r>
        <w:t>Course-provided Test Plan template/rubric, if supplied.</w:t>
      </w:r>
    </w:p>
    <w:p>
      <w:pPr>
        <w:pStyle w:val="Heading2"/>
      </w:pPr>
      <w:r>
        <w:t>1.4 Definitions</w:t>
      </w:r>
    </w:p>
    <w:p>
      <w:r>
        <w:t>Test case: a set of preconditions, inputs, steps, and expected outcomes. Traceability: mapping between requirements, design components, and test cases. p95: 95th-percentile response time.</w:t>
      </w:r>
    </w:p>
    <w:p>
      <w:pPr>
        <w:pStyle w:val="Heading1"/>
      </w:pPr>
      <w:r>
        <w:t>2. Test Items</w:t>
      </w:r>
    </w:p>
    <w:p>
      <w:pPr>
        <w:pStyle w:val="ListBullet"/>
      </w:pPr>
      <w:r>
        <w:t>FastAPI API routes and validation schemas.</w:t>
      </w:r>
    </w:p>
    <w:p>
      <w:pPr>
        <w:pStyle w:val="ListBullet"/>
      </w:pPr>
      <w:r>
        <w:t>Authentication and authorization services.</w:t>
      </w:r>
    </w:p>
    <w:p>
      <w:pPr>
        <w:pStyle w:val="ListBullet"/>
      </w:pPr>
      <w:r>
        <w:t>Resume upload/storage/parser service.</w:t>
      </w:r>
    </w:p>
    <w:p>
      <w:pPr>
        <w:pStyle w:val="ListBullet"/>
      </w:pPr>
      <w:r>
        <w:t>Job search and local dataset repository.</w:t>
      </w:r>
    </w:p>
    <w:p>
      <w:pPr>
        <w:pStyle w:val="ListBullet"/>
      </w:pPr>
      <w:r>
        <w:t>Matching engine and skill-gap analysis.</w:t>
      </w:r>
    </w:p>
    <w:p>
      <w:pPr>
        <w:pStyle w:val="ListBullet"/>
      </w:pPr>
      <w:r>
        <w:t>Agent orchestrator and allowlisted tool registry.</w:t>
      </w:r>
    </w:p>
    <w:p>
      <w:pPr>
        <w:pStyle w:val="ListBullet"/>
      </w:pPr>
      <w:r>
        <w:t>Bookmarks and application tracking services.</w:t>
      </w:r>
    </w:p>
    <w:p>
      <w:pPr>
        <w:pStyle w:val="ListBullet"/>
      </w:pPr>
      <w:r>
        <w:t>Configuration, logging, and error-handling behavior.</w:t>
      </w:r>
    </w:p>
    <w:p>
      <w:pPr>
        <w:pStyle w:val="Heading1"/>
      </w:pPr>
      <w:r>
        <w:t>3. Features to Be Tested</w:t>
      </w:r>
    </w:p>
    <w:p>
      <w:pPr>
        <w:pStyle w:val="ListBullet"/>
      </w:pPr>
      <w:r>
        <w:t>FR-01 through FR-15, with applicable requirement-level acceptance criteria.</w:t>
      </w:r>
    </w:p>
    <w:p>
      <w:pPr>
        <w:pStyle w:val="ListBullet"/>
      </w:pPr>
      <w:r>
        <w:t>NFR-01 through NFR-09, to the extent measurable in the student environment.</w:t>
      </w:r>
    </w:p>
    <w:p>
      <w:pPr>
        <w:pStyle w:val="ListBullet"/>
      </w:pPr>
      <w:r>
        <w:t>SO-01 through SO-03 and SR-01 through SR-08.</w:t>
      </w:r>
    </w:p>
    <w:p>
      <w:pPr>
        <w:pStyle w:val="ListBullet"/>
      </w:pPr>
      <w:r>
        <w:t>Agent workflow behavior under normal, invalid-input, and dependency-failure conditions.</w:t>
      </w:r>
    </w:p>
    <w:p>
      <w:pPr>
        <w:pStyle w:val="Heading1"/>
      </w:pPr>
      <w:r>
        <w:t>4. Features Not to Be Tested</w:t>
      </w:r>
    </w:p>
    <w:p>
      <w:pPr>
        <w:pStyle w:val="ListBullet"/>
      </w:pPr>
      <w:r>
        <w:t>Real-world job placement effectiveness or hiring outcomes.</w:t>
      </w:r>
    </w:p>
    <w:p>
      <w:pPr>
        <w:pStyle w:val="ListBullet"/>
      </w:pPr>
      <w:r>
        <w:t>Live job-board coverage or reliability, because Version 1.0 uses a local curated dataset.</w:t>
      </w:r>
    </w:p>
    <w:p>
      <w:pPr>
        <w:pStyle w:val="ListBullet"/>
      </w:pPr>
      <w:r>
        <w:t>Automatic job submission, recruiter workflows, and unrestricted web scraping.</w:t>
      </w:r>
    </w:p>
    <w:p>
      <w:pPr>
        <w:pStyle w:val="ListBullet"/>
      </w:pPr>
      <w:r>
        <w:t>Production-scale penetration certification or compliance certification; the project will perform defined security checks but must not claim formal certification.</w:t>
      </w:r>
    </w:p>
    <w:p>
      <w:pPr>
        <w:pStyle w:val="Heading1"/>
      </w:pPr>
      <w:r>
        <w:t>5. Test Approach</w:t>
      </w:r>
    </w:p>
    <w:p>
      <w:pPr>
        <w:pStyle w:val="Heading2"/>
      </w:pPr>
      <w:r>
        <w:t>5.1 Security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Control area</w:t>
            </w:r>
          </w:p>
        </w:tc>
        <w:tc>
          <w:tcPr>
            <w:tcW w:type="dxa" w:w="3312"/>
            <w:shd w:fill="1F4E79"/>
          </w:tcPr>
          <w:p>
            <w:r>
              <w:rPr>
                <w:b/>
                <w:color w:val="FFFFFF"/>
                <w:sz w:val="16"/>
              </w:rPr>
              <w:t>Validation method</w:t>
            </w:r>
          </w:p>
        </w:tc>
        <w:tc>
          <w:tcPr>
            <w:tcW w:type="dxa" w:w="3312"/>
            <w:shd w:fill="1F4E79"/>
          </w:tcPr>
          <w:p>
            <w:r>
              <w:rPr>
                <w:b/>
                <w:color w:val="FFFFFF"/>
                <w:sz w:val="16"/>
              </w:rPr>
              <w:t>Linked requirements / tests</w:t>
            </w:r>
          </w:p>
        </w:tc>
      </w:tr>
      <w:tr>
        <w:tc>
          <w:tcPr>
            <w:tcW w:type="dxa" w:w="3312"/>
            <w:vAlign w:val="top"/>
          </w:tcPr>
          <w:p>
            <w:r>
              <w:rPr>
                <w:sz w:val="16"/>
              </w:rPr>
              <w:t>Authentication</w:t>
            </w:r>
          </w:p>
        </w:tc>
        <w:tc>
          <w:tcPr>
            <w:tcW w:type="dxa" w:w="3312"/>
            <w:vAlign w:val="top"/>
          </w:tcPr>
          <w:p>
            <w:r>
              <w:rPr>
                <w:sz w:val="16"/>
              </w:rPr>
              <w:t>Valid/invalid credentials; protected endpoint without authentication; session/token expiry if implemented.</w:t>
            </w:r>
          </w:p>
        </w:tc>
        <w:tc>
          <w:tcPr>
            <w:tcW w:type="dxa" w:w="3312"/>
            <w:vAlign w:val="top"/>
          </w:tcPr>
          <w:p>
            <w:r>
              <w:rPr>
                <w:sz w:val="16"/>
              </w:rPr>
              <w:t>FR-02, SR-01; TC-02</w:t>
            </w:r>
          </w:p>
        </w:tc>
      </w:tr>
      <w:tr>
        <w:tc>
          <w:tcPr>
            <w:tcW w:type="dxa" w:w="3312"/>
            <w:vAlign w:val="top"/>
          </w:tcPr>
          <w:p>
            <w:r>
              <w:rPr>
                <w:sz w:val="16"/>
              </w:rPr>
              <w:t>Authorization / ownership</w:t>
            </w:r>
          </w:p>
        </w:tc>
        <w:tc>
          <w:tcPr>
            <w:tcW w:type="dxa" w:w="3312"/>
            <w:vAlign w:val="top"/>
          </w:tcPr>
          <w:p>
            <w:r>
              <w:rPr>
                <w:sz w:val="16"/>
              </w:rPr>
              <w:t>Attempt cross-user access to resumes, bookmarks, and applications.</w:t>
            </w:r>
          </w:p>
        </w:tc>
        <w:tc>
          <w:tcPr>
            <w:tcW w:type="dxa" w:w="3312"/>
            <w:vAlign w:val="top"/>
          </w:tcPr>
          <w:p>
            <w:r>
              <w:rPr>
                <w:sz w:val="16"/>
              </w:rPr>
              <w:t>FR-12, SR-01; TC-09</w:t>
            </w:r>
          </w:p>
        </w:tc>
      </w:tr>
      <w:tr>
        <w:tc>
          <w:tcPr>
            <w:tcW w:type="dxa" w:w="3312"/>
            <w:vAlign w:val="top"/>
          </w:tcPr>
          <w:p>
            <w:r>
              <w:rPr>
                <w:sz w:val="16"/>
              </w:rPr>
              <w:t>File upload security</w:t>
            </w:r>
          </w:p>
        </w:tc>
        <w:tc>
          <w:tcPr>
            <w:tcW w:type="dxa" w:w="3312"/>
            <w:vAlign w:val="top"/>
          </w:tcPr>
          <w:p>
            <w:r>
              <w:rPr>
                <w:sz w:val="16"/>
              </w:rPr>
              <w:t>Unsupported extension, malformed file, oversized file, misleading filename/content type.</w:t>
            </w:r>
          </w:p>
        </w:tc>
        <w:tc>
          <w:tcPr>
            <w:tcW w:type="dxa" w:w="3312"/>
            <w:vAlign w:val="top"/>
          </w:tcPr>
          <w:p>
            <w:r>
              <w:rPr>
                <w:sz w:val="16"/>
              </w:rPr>
              <w:t>FR-03, SR-03; TC-03</w:t>
            </w:r>
          </w:p>
        </w:tc>
      </w:tr>
      <w:tr>
        <w:tc>
          <w:tcPr>
            <w:tcW w:type="dxa" w:w="3312"/>
            <w:vAlign w:val="top"/>
          </w:tcPr>
          <w:p>
            <w:r>
              <w:rPr>
                <w:sz w:val="16"/>
              </w:rPr>
              <w:t>Secret/error leakage</w:t>
            </w:r>
          </w:p>
        </w:tc>
        <w:tc>
          <w:tcPr>
            <w:tcW w:type="dxa" w:w="3312"/>
            <w:vAlign w:val="top"/>
          </w:tcPr>
          <w:p>
            <w:r>
              <w:rPr>
                <w:sz w:val="16"/>
              </w:rPr>
              <w:t>Induce parser/provider failures; inspect responses and logs for stack traces, tokens, keys, and resume contents.</w:t>
            </w:r>
          </w:p>
        </w:tc>
        <w:tc>
          <w:tcPr>
            <w:tcW w:type="dxa" w:w="3312"/>
            <w:vAlign w:val="top"/>
          </w:tcPr>
          <w:p>
            <w:r>
              <w:rPr>
                <w:sz w:val="16"/>
              </w:rPr>
              <w:t>FR-14, SR-04; TC-12</w:t>
            </w:r>
          </w:p>
        </w:tc>
      </w:tr>
      <w:tr>
        <w:tc>
          <w:tcPr>
            <w:tcW w:type="dxa" w:w="3312"/>
            <w:vAlign w:val="top"/>
          </w:tcPr>
          <w:p>
            <w:r>
              <w:rPr>
                <w:sz w:val="16"/>
              </w:rPr>
              <w:t>Agent tool boundary</w:t>
            </w:r>
          </w:p>
        </w:tc>
        <w:tc>
          <w:tcPr>
            <w:tcW w:type="dxa" w:w="3312"/>
            <w:vAlign w:val="top"/>
          </w:tcPr>
          <w:p>
            <w:r>
              <w:rPr>
                <w:sz w:val="16"/>
              </w:rPr>
              <w:t>Attempt unknown tool, invalid arguments, and instruction-like text in resume/job content; verify permissions remain unchanged.</w:t>
            </w:r>
          </w:p>
        </w:tc>
        <w:tc>
          <w:tcPr>
            <w:tcW w:type="dxa" w:w="3312"/>
            <w:vAlign w:val="top"/>
          </w:tcPr>
          <w:p>
            <w:r>
              <w:rPr>
                <w:sz w:val="16"/>
              </w:rPr>
              <w:t>FR-08, SR-05; TC-08</w:t>
            </w:r>
          </w:p>
        </w:tc>
      </w:tr>
      <w:tr>
        <w:tc>
          <w:tcPr>
            <w:tcW w:type="dxa" w:w="3312"/>
            <w:vAlign w:val="top"/>
          </w:tcPr>
          <w:p>
            <w:r>
              <w:rPr>
                <w:sz w:val="16"/>
              </w:rPr>
              <w:t>External data transfer</w:t>
            </w:r>
          </w:p>
        </w:tc>
        <w:tc>
          <w:tcPr>
            <w:tcW w:type="dxa" w:w="3312"/>
            <w:vAlign w:val="top"/>
          </w:tcPr>
          <w:p>
            <w:r>
              <w:rPr>
                <w:sz w:val="16"/>
              </w:rPr>
              <w:t>Verify default workflow makes no external resume transfer; test consent gate in controlled environment.</w:t>
            </w:r>
          </w:p>
        </w:tc>
        <w:tc>
          <w:tcPr>
            <w:tcW w:type="dxa" w:w="3312"/>
            <w:vAlign w:val="top"/>
          </w:tcPr>
          <w:p>
            <w:r>
              <w:rPr>
                <w:sz w:val="16"/>
              </w:rPr>
              <w:t>FR-13, SR-06; TC-13</w:t>
            </w:r>
          </w:p>
        </w:tc>
      </w:tr>
      <w:tr>
        <w:tc>
          <w:tcPr>
            <w:tcW w:type="dxa" w:w="3312"/>
            <w:vAlign w:val="top"/>
          </w:tcPr>
          <w:p>
            <w:r>
              <w:rPr>
                <w:sz w:val="16"/>
              </w:rPr>
              <w:t>Transport and audit</w:t>
            </w:r>
          </w:p>
        </w:tc>
        <w:tc>
          <w:tcPr>
            <w:tcW w:type="dxa" w:w="3312"/>
            <w:vAlign w:val="top"/>
          </w:tcPr>
          <w:p>
            <w:r>
              <w:rPr>
                <w:sz w:val="16"/>
              </w:rPr>
              <w:t>Verify HTTPS configuration for deployed environment and check security events are recorded without secrets.</w:t>
            </w:r>
          </w:p>
        </w:tc>
        <w:tc>
          <w:tcPr>
            <w:tcW w:type="dxa" w:w="3312"/>
            <w:vAlign w:val="top"/>
          </w:tcPr>
          <w:p>
            <w:r>
              <w:rPr>
                <w:sz w:val="16"/>
              </w:rPr>
              <w:t>SR-07, SR-08; add deployment checks before release.</w:t>
            </w:r>
          </w:p>
        </w:tc>
      </w:tr>
    </w:tbl>
    <w:p>
      <w:pPr>
        <w:pStyle w:val="Heading2"/>
      </w:pPr>
      <w:r>
        <w:t>5.2 Test Levels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Level</w:t>
            </w:r>
          </w:p>
        </w:tc>
        <w:tc>
          <w:tcPr>
            <w:tcW w:type="dxa" w:w="4968"/>
            <w:shd w:fill="1F4E79"/>
          </w:tcPr>
          <w:p>
            <w:r>
              <w:rPr>
                <w:b/>
                <w:color w:val="FFFFFF"/>
                <w:sz w:val="16"/>
              </w:rPr>
              <w:t>Purpose</w:t>
            </w:r>
          </w:p>
        </w:tc>
      </w:tr>
      <w:tr>
        <w:tc>
          <w:tcPr>
            <w:tcW w:type="dxa" w:w="4968"/>
            <w:vAlign w:val="top"/>
          </w:tcPr>
          <w:p>
            <w:r>
              <w:rPr>
                <w:sz w:val="16"/>
              </w:rPr>
              <w:t>Unit</w:t>
            </w:r>
          </w:p>
        </w:tc>
        <w:tc>
          <w:tcPr>
            <w:tcW w:type="dxa" w:w="4968"/>
            <w:vAlign w:val="top"/>
          </w:tcPr>
          <w:p>
            <w:r>
              <w:rPr>
                <w:sz w:val="16"/>
              </w:rPr>
              <w:t>Validate parsing helpers, skill normalization, score calculation, schemas, and status transitions.</w:t>
            </w:r>
          </w:p>
        </w:tc>
      </w:tr>
      <w:tr>
        <w:tc>
          <w:tcPr>
            <w:tcW w:type="dxa" w:w="4968"/>
            <w:vAlign w:val="top"/>
          </w:tcPr>
          <w:p>
            <w:r>
              <w:rPr>
                <w:sz w:val="16"/>
              </w:rPr>
              <w:t>Integration</w:t>
            </w:r>
          </w:p>
        </w:tc>
        <w:tc>
          <w:tcPr>
            <w:tcW w:type="dxa" w:w="4968"/>
            <w:vAlign w:val="top"/>
          </w:tcPr>
          <w:p>
            <w:r>
              <w:rPr>
                <w:sz w:val="16"/>
              </w:rPr>
              <w:t>Validate API-to-service-to-database flow, file storage, tool registry, and provider adapter/fallback.</w:t>
            </w:r>
          </w:p>
        </w:tc>
      </w:tr>
      <w:tr>
        <w:tc>
          <w:tcPr>
            <w:tcW w:type="dxa" w:w="4968"/>
            <w:vAlign w:val="top"/>
          </w:tcPr>
          <w:p>
            <w:r>
              <w:rPr>
                <w:sz w:val="16"/>
              </w:rPr>
              <w:t>System</w:t>
            </w:r>
          </w:p>
        </w:tc>
        <w:tc>
          <w:tcPr>
            <w:tcW w:type="dxa" w:w="4968"/>
            <w:vAlign w:val="top"/>
          </w:tcPr>
          <w:p>
            <w:r>
              <w:rPr>
                <w:sz w:val="16"/>
              </w:rPr>
              <w:t>Validate complete user journeys from registration through recommendations and tracking.</w:t>
            </w:r>
          </w:p>
        </w:tc>
      </w:tr>
      <w:tr>
        <w:tc>
          <w:tcPr>
            <w:tcW w:type="dxa" w:w="4968"/>
            <w:vAlign w:val="top"/>
          </w:tcPr>
          <w:p>
            <w:r>
              <w:rPr>
                <w:sz w:val="16"/>
              </w:rPr>
              <w:t>Acceptance</w:t>
            </w:r>
          </w:p>
        </w:tc>
        <w:tc>
          <w:tcPr>
            <w:tcW w:type="dxa" w:w="4968"/>
            <w:vAlign w:val="top"/>
          </w:tcPr>
          <w:p>
            <w:r>
              <w:rPr>
                <w:sz w:val="16"/>
              </w:rPr>
              <w:t>Demonstrate the defined core journeys and usability criteria against the project rubric.</w:t>
            </w:r>
          </w:p>
        </w:tc>
      </w:tr>
    </w:tbl>
    <w:p>
      <w:pPr>
        <w:pStyle w:val="Heading2"/>
      </w:pPr>
      <w:r>
        <w:t>5.3 Test Types</w:t>
      </w:r>
    </w:p>
    <w:p>
      <w:pPr>
        <w:pStyle w:val="ListBullet"/>
      </w:pPr>
      <w:r>
        <w:t>Functional and negative testing.</w:t>
      </w:r>
    </w:p>
    <w:p>
      <w:pPr>
        <w:pStyle w:val="ListBullet"/>
      </w:pPr>
      <w:r>
        <w:t>API contract and data validation testing.</w:t>
      </w:r>
    </w:p>
    <w:p>
      <w:pPr>
        <w:pStyle w:val="ListBullet"/>
      </w:pPr>
      <w:r>
        <w:t>Security and authorization testing.</w:t>
      </w:r>
    </w:p>
    <w:p>
      <w:pPr>
        <w:pStyle w:val="ListBullet"/>
      </w:pPr>
      <w:r>
        <w:t>Performance/load testing for NFR-01 and matching latency for NFR-02.</w:t>
      </w:r>
    </w:p>
    <w:p>
      <w:pPr>
        <w:pStyle w:val="ListBullet"/>
      </w:pPr>
      <w:r>
        <w:t>Reliability/failure-injection testing for NFR-03 and dependency failures.</w:t>
      </w:r>
    </w:p>
    <w:p>
      <w:pPr>
        <w:pStyle w:val="ListBullet"/>
      </w:pPr>
      <w:r>
        <w:t>Usability and keyboard accessibility checks for NFR-04 and NFR-08.</w:t>
      </w:r>
    </w:p>
    <w:p>
      <w:pPr>
        <w:pStyle w:val="ListBullet"/>
      </w:pPr>
      <w:r>
        <w:t>Regression testing after changes to requirements, matching logic, agent tools, or data models.</w:t>
      </w:r>
    </w:p>
    <w:p>
      <w:pPr>
        <w:pStyle w:val="Heading2"/>
      </w:pPr>
      <w:r>
        <w:t>5.4 Test Data</w:t>
      </w:r>
    </w:p>
    <w:p>
      <w:pPr>
        <w:pStyle w:val="ListBullet"/>
      </w:pPr>
      <w:r>
        <w:t>Synthetic user accounts A and B with separate private records.</w:t>
      </w:r>
    </w:p>
    <w:p>
      <w:pPr>
        <w:pStyle w:val="ListBullet"/>
      </w:pPr>
      <w:r>
        <w:t>Fixture resumes containing known skills and deliberately missing fields; do not use real personal resumes in committed test data.</w:t>
      </w:r>
    </w:p>
    <w:p>
      <w:pPr>
        <w:pStyle w:val="ListBullet"/>
      </w:pPr>
      <w:r>
        <w:t>Curated job fixtures with known skill overlap and no-overlap cases.</w:t>
      </w:r>
    </w:p>
    <w:p>
      <w:pPr>
        <w:pStyle w:val="ListBullet"/>
      </w:pPr>
      <w:r>
        <w:t>Valid, unsupported, malformed, and oversized upload fixtures.</w:t>
      </w:r>
    </w:p>
    <w:p>
      <w:pPr>
        <w:pStyle w:val="ListBullet"/>
      </w:pPr>
      <w:r>
        <w:t>Agent tool calls with valid schemas, unknown tool names, malformed arguments, and prompt-injection-like content.</w:t>
      </w:r>
    </w:p>
    <w:p>
      <w:pPr>
        <w:pStyle w:val="ListBullet"/>
      </w:pPr>
      <w:r>
        <w:t>A seeded local job dataset with up to 5,000 entries for performance testing.</w:t>
      </w:r>
    </w:p>
    <w:p>
      <w:pPr>
        <w:pStyle w:val="Heading2"/>
      </w:pPr>
      <w:r>
        <w:t>5.5 Test Environment</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Item</w:t>
            </w:r>
          </w:p>
        </w:tc>
        <w:tc>
          <w:tcPr>
            <w:tcW w:type="dxa" w:w="4968"/>
            <w:shd w:fill="1F4E79"/>
          </w:tcPr>
          <w:p>
            <w:r>
              <w:rPr>
                <w:b/>
                <w:color w:val="FFFFFF"/>
                <w:sz w:val="16"/>
              </w:rPr>
              <w:t>Baseline</w:t>
            </w:r>
          </w:p>
        </w:tc>
      </w:tr>
      <w:tr>
        <w:tc>
          <w:tcPr>
            <w:tcW w:type="dxa" w:w="4968"/>
            <w:vAlign w:val="top"/>
          </w:tcPr>
          <w:p>
            <w:r>
              <w:rPr>
                <w:sz w:val="16"/>
              </w:rPr>
              <w:t>Runtime</w:t>
            </w:r>
          </w:p>
        </w:tc>
        <w:tc>
          <w:tcPr>
            <w:tcW w:type="dxa" w:w="4968"/>
            <w:vAlign w:val="top"/>
          </w:tcPr>
          <w:p>
            <w:r>
              <w:rPr>
                <w:sz w:val="16"/>
              </w:rPr>
              <w:t>Pinned Python 3.x release; FastAPI; ASGI server.</w:t>
            </w:r>
          </w:p>
        </w:tc>
      </w:tr>
      <w:tr>
        <w:tc>
          <w:tcPr>
            <w:tcW w:type="dxa" w:w="4968"/>
            <w:vAlign w:val="top"/>
          </w:tcPr>
          <w:p>
            <w:r>
              <w:rPr>
                <w:sz w:val="16"/>
              </w:rPr>
              <w:t>Database</w:t>
            </w:r>
          </w:p>
        </w:tc>
        <w:tc>
          <w:tcPr>
            <w:tcW w:type="dxa" w:w="4968"/>
            <w:vAlign w:val="top"/>
          </w:tcPr>
          <w:p>
            <w:r>
              <w:rPr>
                <w:sz w:val="16"/>
              </w:rPr>
              <w:t>SQLite test database with reset/seed script.</w:t>
            </w:r>
          </w:p>
        </w:tc>
      </w:tr>
      <w:tr>
        <w:tc>
          <w:tcPr>
            <w:tcW w:type="dxa" w:w="4968"/>
            <w:vAlign w:val="top"/>
          </w:tcPr>
          <w:p>
            <w:r>
              <w:rPr>
                <w:sz w:val="16"/>
              </w:rPr>
              <w:t>Host</w:t>
            </w:r>
          </w:p>
        </w:tc>
        <w:tc>
          <w:tcPr>
            <w:tcW w:type="dxa" w:w="4968"/>
            <w:vAlign w:val="top"/>
          </w:tcPr>
          <w:p>
            <w:r>
              <w:rPr>
                <w:sz w:val="16"/>
              </w:rPr>
              <w:t>Document CPU, RAM, OS (v1.1: the actual machine, OS, Python and browser versions are recorded at the top of docs/TEST_REPORT.md), Python version, and dependency versions in the execution report.</w:t>
            </w:r>
          </w:p>
        </w:tc>
      </w:tr>
      <w:tr>
        <w:tc>
          <w:tcPr>
            <w:tcW w:type="dxa" w:w="4968"/>
            <w:vAlign w:val="top"/>
          </w:tcPr>
          <w:p>
            <w:r>
              <w:rPr>
                <w:sz w:val="16"/>
              </w:rPr>
              <w:t>Client</w:t>
            </w:r>
          </w:p>
        </w:tc>
        <w:tc>
          <w:tcPr>
            <w:tcW w:type="dxa" w:w="4968"/>
            <w:vAlign w:val="top"/>
          </w:tcPr>
          <w:p>
            <w:r>
              <w:rPr>
                <w:sz w:val="16"/>
              </w:rPr>
              <w:t>API test client and current stable Chrome/Firefox for UI checks if frontend exists.</w:t>
            </w:r>
          </w:p>
        </w:tc>
      </w:tr>
      <w:tr>
        <w:tc>
          <w:tcPr>
            <w:tcW w:type="dxa" w:w="4968"/>
            <w:vAlign w:val="top"/>
          </w:tcPr>
          <w:p>
            <w:r>
              <w:rPr>
                <w:sz w:val="16"/>
              </w:rPr>
              <w:t>Tools</w:t>
            </w:r>
          </w:p>
        </w:tc>
        <w:tc>
          <w:tcPr>
            <w:tcW w:type="dxa" w:w="4968"/>
            <w:vAlign w:val="top"/>
          </w:tcPr>
          <w:p>
            <w:r>
              <w:rPr>
                <w:sz w:val="16"/>
              </w:rPr>
              <w:t>pytest, HTTP/API client, coverage tool, and a load-test tool such as Locust or equivalent.</w:t>
            </w:r>
          </w:p>
        </w:tc>
      </w:tr>
      <w:tr>
        <w:tc>
          <w:tcPr>
            <w:tcW w:type="dxa" w:w="4968"/>
            <w:vAlign w:val="top"/>
          </w:tcPr>
          <w:p>
            <w:r>
              <w:rPr>
                <w:sz w:val="16"/>
              </w:rPr>
              <w:t>External AI</w:t>
            </w:r>
          </w:p>
        </w:tc>
        <w:tc>
          <w:tcPr>
            <w:tcW w:type="dxa" w:w="4968"/>
            <w:vAlign w:val="top"/>
          </w:tcPr>
          <w:p>
            <w:r>
              <w:rPr>
                <w:sz w:val="16"/>
              </w:rPr>
              <w:t>Disabled for baseline repeatability; optional provider tests use a controlled test key and non-sensitive fixtures.</w:t>
            </w:r>
          </w:p>
        </w:tc>
      </w:tr>
    </w:tbl>
    <w:p>
      <w:pPr>
        <w:pStyle w:val="Heading2"/>
      </w:pPr>
      <w:r>
        <w:t>5.6 Entry Criteria</w:t>
      </w:r>
    </w:p>
    <w:p>
      <w:pPr>
        <w:pStyle w:val="ListBullet"/>
      </w:pPr>
      <w:r>
        <w:t>Requirements and test-case IDs are baselined.</w:t>
      </w:r>
    </w:p>
    <w:p>
      <w:pPr>
        <w:pStyle w:val="ListBullet"/>
      </w:pPr>
      <w:r>
        <w:t>Application starts from documented setup instructions.</w:t>
      </w:r>
    </w:p>
    <w:p>
      <w:pPr>
        <w:pStyle w:val="ListBullet"/>
      </w:pPr>
      <w:r>
        <w:t>Database schema and seed dataset are available.</w:t>
      </w:r>
    </w:p>
    <w:p>
      <w:pPr>
        <w:pStyle w:val="ListBullet"/>
      </w:pPr>
      <w:r>
        <w:t>Test accounts and synthetic fixtures are prepared.</w:t>
      </w:r>
    </w:p>
    <w:p>
      <w:pPr>
        <w:pStyle w:val="ListBullet"/>
      </w:pPr>
      <w:r>
        <w:t>Core routes return structured responses and logs are accessible to testers.</w:t>
      </w:r>
    </w:p>
    <w:p>
      <w:pPr>
        <w:pStyle w:val="Heading2"/>
      </w:pPr>
      <w:r>
        <w:t>5.7 Exit Criteria</w:t>
      </w:r>
    </w:p>
    <w:p>
      <w:pPr>
        <w:pStyle w:val="ListBullet"/>
      </w:pPr>
      <w:r>
        <w:t>All planned test cases are executed and results recorded.</w:t>
      </w:r>
    </w:p>
    <w:p>
      <w:pPr>
        <w:pStyle w:val="ListBullet"/>
      </w:pPr>
      <w:r>
        <w:t>All critical/high-severity security defects are fixed or formally documented as release blockers.</w:t>
      </w:r>
    </w:p>
    <w:p>
      <w:pPr>
        <w:pStyle w:val="ListBullet"/>
      </w:pPr>
      <w:r>
        <w:t>No unresolved defect permits cross-user access to private records or unauthorized external agent actions.</w:t>
      </w:r>
    </w:p>
    <w:p>
      <w:pPr>
        <w:pStyle w:val="ListBullet"/>
      </w:pPr>
      <w:r>
        <w:t>NFR measurements are reported with environment and method; unmet targets are clearly recorded.</w:t>
      </w:r>
    </w:p>
    <w:p>
      <w:pPr>
        <w:pStyle w:val="ListBullet"/>
      </w:pPr>
      <w:r>
        <w:t>Requirement traceability has no unexplained gaps; failed tests have defect IDs or documented dispositions.</w:t>
      </w:r>
    </w:p>
    <w:p>
      <w:pPr>
        <w:pStyle w:val="Heading2"/>
      </w:pPr>
      <w:r>
        <w:t>5.8 Suspension and Resumption Criteria</w:t>
      </w:r>
    </w:p>
    <w:p>
      <w:r>
        <w:t>Suspend testing if the application cannot start, the test database is corrupted, or test data could affect real users/services. Resume after environment restoration, database reset, and confirmation that the affected test cases can be repeated.</w:t>
      </w:r>
    </w:p>
    <w:p>
      <w:pPr>
        <w:pStyle w:val="Heading2"/>
      </w:pPr>
      <w:r>
        <w:t>5.9 Test Deliverables</w:t>
      </w:r>
    </w:p>
    <w:p>
      <w:pPr>
        <w:pStyle w:val="ListBullet"/>
      </w:pPr>
      <w:r>
        <w:t>Test execution report with pass/fail/blocked status.</w:t>
      </w:r>
    </w:p>
    <w:p>
      <w:pPr>
        <w:pStyle w:val="ListBullet"/>
      </w:pPr>
      <w:r>
        <w:t>Defect log with severity, reproduction steps, and resolution.</w:t>
      </w:r>
    </w:p>
    <w:p>
      <w:pPr>
        <w:pStyle w:val="ListBullet"/>
      </w:pPr>
      <w:r>
        <w:t>Performance results including p95 and test environment.</w:t>
      </w:r>
    </w:p>
    <w:p>
      <w:pPr>
        <w:pStyle w:val="ListBullet"/>
      </w:pPr>
      <w:r>
        <w:t>Security validation evidence with sensitive data redacted.</w:t>
      </w:r>
    </w:p>
    <w:p>
      <w:pPr>
        <w:pStyle w:val="ListBullet"/>
      </w:pPr>
      <w:r>
        <w:t>Updated requirements-to-test traceability matrix.</w:t>
      </w:r>
    </w:p>
    <w:p>
      <w:pPr>
        <w:pStyle w:val="ListBullet"/>
      </w:pPr>
      <w:r>
        <w:t xml:space="preserve">v1.1 locations: docs/TEST_REPORT.md, docs/DEFECT_LOG.md, docs/PERFORMANCE.md, docs/USABILITY.md, docs/SECURITY_CHECKLIST.md, docs/TraceabilityMatrix_v1.1.csv, docs/evidence/.</w:t>
      </w:r>
    </w:p>
    <w:p>
      <w:pPr>
        <w:pStyle w:val="Heading2"/>
      </w:pPr>
      <w:r>
        <w:t>5.10 Responsibilities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Role</w:t>
            </w:r>
          </w:p>
        </w:tc>
        <w:tc>
          <w:tcPr>
            <w:tcW w:type="dxa" w:w="4968"/>
            <w:shd w:fill="1F4E79"/>
          </w:tcPr>
          <w:p>
            <w:r>
              <w:rPr>
                <w:b/>
                <w:color w:val="FFFFFF"/>
                <w:sz w:val="16"/>
              </w:rPr>
              <w:t>Responsibility</w:t>
            </w:r>
          </w:p>
        </w:tc>
      </w:tr>
      <w:tr>
        <w:tc>
          <w:tcPr>
            <w:tcW w:type="dxa" w:w="4968"/>
            <w:vAlign w:val="top"/>
          </w:tcPr>
          <w:p>
            <w:r>
              <w:rPr>
                <w:sz w:val="16"/>
              </w:rPr>
              <w:t>Developer</w:t>
            </w:r>
          </w:p>
        </w:tc>
        <w:tc>
          <w:tcPr>
            <w:tcW w:type="dxa" w:w="4968"/>
            <w:vAlign w:val="top"/>
          </w:tcPr>
          <w:p>
            <w:r>
              <w:rPr>
                <w:sz w:val="16"/>
              </w:rPr>
              <w:t>Implements fixes, unit tests, and testable logging; does not mark unrun tests as passed.</w:t>
            </w:r>
          </w:p>
        </w:tc>
      </w:tr>
      <w:tr>
        <w:tc>
          <w:tcPr>
            <w:tcW w:type="dxa" w:w="4968"/>
            <w:vAlign w:val="top"/>
          </w:tcPr>
          <w:p>
            <w:r>
              <w:rPr>
                <w:sz w:val="16"/>
              </w:rPr>
              <w:t>Tester / peer reviewer</w:t>
            </w:r>
          </w:p>
        </w:tc>
        <w:tc>
          <w:tcPr>
            <w:tcW w:type="dxa" w:w="4968"/>
            <w:vAlign w:val="top"/>
          </w:tcPr>
          <w:p>
            <w:r>
              <w:rPr>
                <w:sz w:val="16"/>
              </w:rPr>
              <w:t>Executes test cases, records evidence, checks expected results, and reports defects.</w:t>
            </w:r>
          </w:p>
        </w:tc>
      </w:tr>
      <w:tr>
        <w:tc>
          <w:tcPr>
            <w:tcW w:type="dxa" w:w="4968"/>
            <w:vAlign w:val="top"/>
          </w:tcPr>
          <w:p>
            <w:r>
              <w:rPr>
                <w:sz w:val="16"/>
              </w:rPr>
              <w:t>Project coordinator</w:t>
            </w:r>
          </w:p>
        </w:tc>
        <w:tc>
          <w:tcPr>
            <w:tcW w:type="dxa" w:w="4968"/>
            <w:vAlign w:val="top"/>
          </w:tcPr>
          <w:p>
            <w:r>
              <w:rPr>
                <w:sz w:val="16"/>
              </w:rPr>
              <w:t>Maintains requirement/test IDs, baseline versions, and final review checklist.</w:t>
            </w:r>
          </w:p>
        </w:tc>
      </w:tr>
      <w:tr>
        <w:tc>
          <w:tcPr>
            <w:tcW w:type="dxa" w:w="4968"/>
            <w:vAlign w:val="top"/>
          </w:tcPr>
          <w:p>
            <w:r>
              <w:rPr>
                <w:sz w:val="16"/>
              </w:rPr>
              <w:t>All team members</w:t>
            </w:r>
          </w:p>
        </w:tc>
        <w:tc>
          <w:tcPr>
            <w:tcW w:type="dxa" w:w="4968"/>
            <w:vAlign w:val="top"/>
          </w:tcPr>
          <w:p>
            <w:r>
              <w:rPr>
                <w:sz w:val="16"/>
              </w:rPr>
              <w:t>Protect synthetic test data, avoid committing secrets, and review security-impacting changes.</w:t>
            </w:r>
          </w:p>
        </w:tc>
      </w:tr>
    </w:tbl>
    <w:p>
      <w:pPr>
        <w:pStyle w:val="Heading1"/>
      </w:pPr>
      <w:r>
        <w:t>6. Test Cases</w:t>
      </w:r>
    </w:p>
    <w:p>
      <w:r>
        <w:t>The following 15 cases are the initial baseline. Record actual result, status, execution date, tester, evidence path, and defect ID during execution. Expected outcomes are not claims that the software has already passed.</w:t>
      </w:r>
    </w:p>
    <w:p>
      <w:pPr>
        <w:pStyle w:val="Heading2"/>
      </w:pPr>
      <w:r>
        <w:t>TC-01 — FR-01</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Submit valid registration details, then repeat with a duplicate email.</w:t>
            </w:r>
          </w:p>
        </w:tc>
      </w:tr>
      <w:tr>
        <w:tc>
          <w:tcPr>
            <w:tcW w:type="dxa" w:w="4968"/>
            <w:vAlign w:val="top"/>
          </w:tcPr>
          <w:p>
            <w:r>
              <w:rPr>
                <w:sz w:val="16"/>
              </w:rPr>
              <w:t>Expected result</w:t>
            </w:r>
          </w:p>
        </w:tc>
        <w:tc>
          <w:tcPr>
            <w:tcW w:type="dxa" w:w="4968"/>
            <w:vAlign w:val="top"/>
          </w:tcPr>
          <w:p>
            <w:r>
              <w:rPr>
                <w:sz w:val="16"/>
              </w:rPr>
              <w:t>First registration succeeds; duplicate is rejected with safe validation feedback.</w:t>
            </w:r>
          </w:p>
        </w:tc>
      </w:tr>
      <w:tr>
        <w:tc>
          <w:tcPr>
            <w:tcW w:type="dxa" w:w="4968"/>
            <w:vAlign w:val="top"/>
          </w:tcPr>
          <w:p>
            <w:r>
              <w:rPr>
                <w:sz w:val="16"/>
              </w:rPr>
              <w:t>Status</w:t>
            </w:r>
          </w:p>
        </w:tc>
        <w:tc>
          <w:tcPr>
            <w:tcW w:type="dxa" w:w="4968"/>
            <w:vAlign w:val="top"/>
          </w:tcPr>
          <w:p>
            <w:r>
              <w:rPr>
                <w:sz w:val="16"/>
              </w:rPr>
              <w:t>Executed 30 Oct 2026 — see docs/TEST_REPORT.md, row TC-01.</w:t>
            </w:r>
          </w:p>
        </w:tc>
      </w:tr>
      <w:tr>
        <w:tc>
          <w:tcPr>
            <w:tcW w:type="dxa" w:w="4968"/>
            <w:vAlign w:val="top"/>
          </w:tcPr>
          <w:p>
            <w:r>
              <w:rPr>
                <w:sz w:val="16"/>
              </w:rPr>
              <w:t>Evidence / defect</w:t>
            </w:r>
          </w:p>
        </w:tc>
        <w:tc>
          <w:tcPr>
            <w:tcW w:type="dxa" w:w="4968"/>
            <w:vAlign w:val="top"/>
          </w:tcPr>
          <w:p>
            <w:r>
              <w:rPr>
                <w:sz w:val="16"/>
              </w:rPr>
              <w:t>Evidence: docs/evidence/tc01_tc02_sr02.txt. Defect ID (if any): see docs/DEFECT_LOG.md.</w:t>
            </w:r>
          </w:p>
        </w:tc>
      </w:tr>
    </w:tbl>
    <w:p>
      <w:pPr>
        <w:pStyle w:val="Heading2"/>
      </w:pPr>
      <w:r>
        <w:t>TC-02 — FR-02, SR-01</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Functional/Security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Attempt login with valid credentials and with an incorrect password; call a protected endpoint without authentication.</w:t>
            </w:r>
          </w:p>
        </w:tc>
      </w:tr>
      <w:tr>
        <w:tc>
          <w:tcPr>
            <w:tcW w:type="dxa" w:w="4968"/>
            <w:vAlign w:val="top"/>
          </w:tcPr>
          <w:p>
            <w:r>
              <w:rPr>
                <w:sz w:val="16"/>
              </w:rPr>
              <w:t>Expected result</w:t>
            </w:r>
          </w:p>
        </w:tc>
        <w:tc>
          <w:tcPr>
            <w:tcW w:type="dxa" w:w="4968"/>
            <w:vAlign w:val="top"/>
          </w:tcPr>
          <w:p>
            <w:r>
              <w:rPr>
                <w:sz w:val="16"/>
              </w:rPr>
              <w:t>Valid login succeeds; invalid login and unauthenticated protected request are denied.</w:t>
            </w:r>
          </w:p>
        </w:tc>
      </w:tr>
      <w:tr>
        <w:tc>
          <w:tcPr>
            <w:tcW w:type="dxa" w:w="4968"/>
            <w:vAlign w:val="top"/>
          </w:tcPr>
          <w:p>
            <w:r>
              <w:rPr>
                <w:sz w:val="16"/>
              </w:rPr>
              <w:t>Status</w:t>
            </w:r>
          </w:p>
        </w:tc>
        <w:tc>
          <w:tcPr>
            <w:tcW w:type="dxa" w:w="4968"/>
            <w:vAlign w:val="top"/>
          </w:tcPr>
          <w:p>
            <w:r>
              <w:rPr>
                <w:sz w:val="16"/>
              </w:rPr>
              <w:t>Executed 30 Oct 2026 — see docs/TEST_REPORT.md, row TC-02.</w:t>
            </w:r>
          </w:p>
        </w:tc>
      </w:tr>
      <w:tr>
        <w:tc>
          <w:tcPr>
            <w:tcW w:type="dxa" w:w="4968"/>
            <w:vAlign w:val="top"/>
          </w:tcPr>
          <w:p>
            <w:r>
              <w:rPr>
                <w:sz w:val="16"/>
              </w:rPr>
              <w:t>Evidence / defect</w:t>
            </w:r>
          </w:p>
        </w:tc>
        <w:tc>
          <w:tcPr>
            <w:tcW w:type="dxa" w:w="4968"/>
            <w:vAlign w:val="top"/>
          </w:tcPr>
          <w:p>
            <w:r>
              <w:rPr>
                <w:sz w:val="16"/>
              </w:rPr>
              <w:t>Evidence: docs/evidence/tc01_tc02_sr02.txt. Defect ID (if any): see docs/DEFECT_LOG.md.</w:t>
            </w:r>
          </w:p>
        </w:tc>
      </w:tr>
    </w:tbl>
    <w:p>
      <w:pPr>
        <w:pStyle w:val="Heading2"/>
      </w:pPr>
      <w:r>
        <w:t>TC-03 — FR-03, SR-03</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Functional/Security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Upload a valid supported resume, then an unsupported extension, malformed file, and file above the configured limit.</w:t>
            </w:r>
          </w:p>
        </w:tc>
      </w:tr>
      <w:tr>
        <w:tc>
          <w:tcPr>
            <w:tcW w:type="dxa" w:w="4968"/>
            <w:vAlign w:val="top"/>
          </w:tcPr>
          <w:p>
            <w:r>
              <w:rPr>
                <w:sz w:val="16"/>
              </w:rPr>
              <w:t>Expected result</w:t>
            </w:r>
          </w:p>
        </w:tc>
        <w:tc>
          <w:tcPr>
            <w:tcW w:type="dxa" w:w="4968"/>
            <w:vAlign w:val="top"/>
          </w:tcPr>
          <w:p>
            <w:r>
              <w:rPr>
                <w:sz w:val="16"/>
              </w:rPr>
              <w:t>Valid file is accepted; each invalid upload is rejected without being parsed or stored as a valid resume.</w:t>
            </w:r>
          </w:p>
        </w:tc>
      </w:tr>
      <w:tr>
        <w:tc>
          <w:tcPr>
            <w:tcW w:type="dxa" w:w="4968"/>
            <w:vAlign w:val="top"/>
          </w:tcPr>
          <w:p>
            <w:r>
              <w:rPr>
                <w:sz w:val="16"/>
              </w:rPr>
              <w:t>Status</w:t>
            </w:r>
          </w:p>
        </w:tc>
        <w:tc>
          <w:tcPr>
            <w:tcW w:type="dxa" w:w="4968"/>
            <w:vAlign w:val="top"/>
          </w:tcPr>
          <w:p>
            <w:r>
              <w:rPr>
                <w:sz w:val="16"/>
              </w:rPr>
              <w:t>Executed 30 Oct 2026 — see docs/TEST_REPORT.md, row TC-03.</w:t>
            </w:r>
          </w:p>
        </w:tc>
      </w:tr>
      <w:tr>
        <w:tc>
          <w:tcPr>
            <w:tcW w:type="dxa" w:w="4968"/>
            <w:vAlign w:val="top"/>
          </w:tcPr>
          <w:p>
            <w:r>
              <w:rPr>
                <w:sz w:val="16"/>
              </w:rPr>
              <w:t>Evidence / defect</w:t>
            </w:r>
          </w:p>
        </w:tc>
        <w:tc>
          <w:tcPr>
            <w:tcW w:type="dxa" w:w="4968"/>
            <w:vAlign w:val="top"/>
          </w:tcPr>
          <w:p>
            <w:r>
              <w:rPr>
                <w:sz w:val="16"/>
              </w:rPr>
              <w:t>Evidence: docs/evidence/tc03_tc04_nfr07.txt. Defect ID (if any): see docs/DEFECT_LOG.md.</w:t>
            </w:r>
          </w:p>
        </w:tc>
      </w:tr>
    </w:tbl>
    <w:p>
      <w:pPr>
        <w:pStyle w:val="Heading2"/>
      </w:pPr>
      <w:r>
        <w:t>TC-04 — FR-04</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Upload a fixture resume containing known skills, education, and experience.</w:t>
            </w:r>
          </w:p>
        </w:tc>
      </w:tr>
      <w:tr>
        <w:tc>
          <w:tcPr>
            <w:tcW w:type="dxa" w:w="4968"/>
            <w:vAlign w:val="top"/>
          </w:tcPr>
          <w:p>
            <w:r>
              <w:rPr>
                <w:sz w:val="16"/>
              </w:rPr>
              <w:t>Expected result</w:t>
            </w:r>
          </w:p>
        </w:tc>
        <w:tc>
          <w:tcPr>
            <w:tcW w:type="dxa" w:w="4968"/>
            <w:vAlign w:val="top"/>
          </w:tcPr>
          <w:p>
            <w:r>
              <w:rPr>
                <w:sz w:val="16"/>
              </w:rPr>
              <w:t>Extracted fields match the expected fixture within documented parser limitations; uncertain/missing fields are not fabricated.</w:t>
            </w:r>
          </w:p>
        </w:tc>
      </w:tr>
      <w:tr>
        <w:tc>
          <w:tcPr>
            <w:tcW w:type="dxa" w:w="4968"/>
            <w:vAlign w:val="top"/>
          </w:tcPr>
          <w:p>
            <w:r>
              <w:rPr>
                <w:sz w:val="16"/>
              </w:rPr>
              <w:t>Status</w:t>
            </w:r>
          </w:p>
        </w:tc>
        <w:tc>
          <w:tcPr>
            <w:tcW w:type="dxa" w:w="4968"/>
            <w:vAlign w:val="top"/>
          </w:tcPr>
          <w:p>
            <w:r>
              <w:rPr>
                <w:sz w:val="16"/>
              </w:rPr>
              <w:t>Executed 30 Oct 2026 — see docs/TEST_REPORT.md, row TC-04.</w:t>
            </w:r>
          </w:p>
        </w:tc>
      </w:tr>
      <w:tr>
        <w:tc>
          <w:tcPr>
            <w:tcW w:type="dxa" w:w="4968"/>
            <w:vAlign w:val="top"/>
          </w:tcPr>
          <w:p>
            <w:r>
              <w:rPr>
                <w:sz w:val="16"/>
              </w:rPr>
              <w:t>Evidence / defect</w:t>
            </w:r>
          </w:p>
        </w:tc>
        <w:tc>
          <w:tcPr>
            <w:tcW w:type="dxa" w:w="4968"/>
            <w:vAlign w:val="top"/>
          </w:tcPr>
          <w:p>
            <w:r>
              <w:rPr>
                <w:sz w:val="16"/>
              </w:rPr>
              <w:t>Evidence: docs/evidence/tc03_tc04_nfr07.txt. Defect ID (if any): see docs/DEFECT_LOG.md.</w:t>
            </w:r>
          </w:p>
        </w:tc>
      </w:tr>
    </w:tbl>
    <w:p>
      <w:pPr>
        <w:pStyle w:val="Heading2"/>
      </w:pPr>
      <w:r>
        <w:t>TC-05 — FR-05, NFR-01</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Functional/Performance</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Search the seeded dataset by keyword, skill, and location; run load test with 20 concurrent users.</w:t>
            </w:r>
          </w:p>
        </w:tc>
      </w:tr>
      <w:tr>
        <w:tc>
          <w:tcPr>
            <w:tcW w:type="dxa" w:w="4968"/>
            <w:vAlign w:val="top"/>
          </w:tcPr>
          <w:p>
            <w:r>
              <w:rPr>
                <w:sz w:val="16"/>
              </w:rPr>
              <w:t>Expected result</w:t>
            </w:r>
          </w:p>
        </w:tc>
        <w:tc>
          <w:tcPr>
            <w:tcW w:type="dxa" w:w="4968"/>
            <w:vAlign w:val="top"/>
          </w:tcPr>
          <w:p>
            <w:r>
              <w:rPr>
                <w:sz w:val="16"/>
              </w:rPr>
              <w:t>Results obey filters; p95 local search latency is at most 2 seconds for the defined test setup.</w:t>
            </w:r>
          </w:p>
        </w:tc>
      </w:tr>
      <w:tr>
        <w:tc>
          <w:tcPr>
            <w:tcW w:type="dxa" w:w="4968"/>
            <w:vAlign w:val="top"/>
          </w:tcPr>
          <w:p>
            <w:r>
              <w:rPr>
                <w:sz w:val="16"/>
              </w:rPr>
              <w:t>Status</w:t>
            </w:r>
          </w:p>
        </w:tc>
        <w:tc>
          <w:tcPr>
            <w:tcW w:type="dxa" w:w="4968"/>
            <w:vAlign w:val="top"/>
          </w:tcPr>
          <w:p>
            <w:r>
              <w:rPr>
                <w:sz w:val="16"/>
              </w:rPr>
              <w:t>Executed 30 Oct 2026 — see docs/TEST_REPORT.md, row TC-05.</w:t>
            </w:r>
          </w:p>
        </w:tc>
      </w:tr>
      <w:tr>
        <w:tc>
          <w:tcPr>
            <w:tcW w:type="dxa" w:w="4968"/>
            <w:vAlign w:val="top"/>
          </w:tcPr>
          <w:p>
            <w:r>
              <w:rPr>
                <w:sz w:val="16"/>
              </w:rPr>
              <w:t>Evidence / defect</w:t>
            </w:r>
          </w:p>
        </w:tc>
        <w:tc>
          <w:tcPr>
            <w:tcW w:type="dxa" w:w="4968"/>
            <w:vAlign w:val="top"/>
          </w:tcPr>
          <w:p>
            <w:r>
              <w:rPr>
                <w:sz w:val="16"/>
              </w:rPr>
              <w:t>Evidence: docs/evidence/tc05.txt and docs/evidence/nfr01_search_load.txt. Defect ID (if any): see docs/DEFECT_LOG.md.</w:t>
            </w:r>
          </w:p>
        </w:tc>
      </w:tr>
    </w:tbl>
    <w:p>
      <w:pPr>
        <w:pStyle w:val="Heading2"/>
      </w:pPr>
      <w:r>
        <w:t>TC-06 — FR-06</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Run matching against fixed resume/job fixtures with known overlapping and non-overlapping skills.</w:t>
            </w:r>
          </w:p>
        </w:tc>
      </w:tr>
      <w:tr>
        <w:tc>
          <w:tcPr>
            <w:tcW w:type="dxa" w:w="4968"/>
            <w:vAlign w:val="top"/>
          </w:tcPr>
          <w:p>
            <w:r>
              <w:rPr>
                <w:sz w:val="16"/>
              </w:rPr>
              <w:t>Expected result</w:t>
            </w:r>
          </w:p>
        </w:tc>
        <w:tc>
          <w:tcPr>
            <w:tcW w:type="dxa" w:w="4968"/>
            <w:vAlign w:val="top"/>
          </w:tcPr>
          <w:p>
            <w:r>
              <w:rPr>
                <w:sz w:val="16"/>
              </w:rPr>
              <w:t>Score is within documented range, repeatable for the same inputs, and includes a breakdown.</w:t>
            </w:r>
          </w:p>
        </w:tc>
      </w:tr>
      <w:tr>
        <w:tc>
          <w:tcPr>
            <w:tcW w:type="dxa" w:w="4968"/>
            <w:vAlign w:val="top"/>
          </w:tcPr>
          <w:p>
            <w:r>
              <w:rPr>
                <w:sz w:val="16"/>
              </w:rPr>
              <w:t>Status</w:t>
            </w:r>
          </w:p>
        </w:tc>
        <w:tc>
          <w:tcPr>
            <w:tcW w:type="dxa" w:w="4968"/>
            <w:vAlign w:val="top"/>
          </w:tcPr>
          <w:p>
            <w:r>
              <w:rPr>
                <w:sz w:val="16"/>
              </w:rPr>
              <w:t>Executed 30 Oct 2026 — see docs/TEST_REPORT.md, row TC-06.</w:t>
            </w:r>
          </w:p>
        </w:tc>
      </w:tr>
      <w:tr>
        <w:tc>
          <w:tcPr>
            <w:tcW w:type="dxa" w:w="4968"/>
            <w:vAlign w:val="top"/>
          </w:tcPr>
          <w:p>
            <w:r>
              <w:rPr>
                <w:sz w:val="16"/>
              </w:rPr>
              <w:t>Evidence / defect</w:t>
            </w:r>
          </w:p>
        </w:tc>
        <w:tc>
          <w:tcPr>
            <w:tcW w:type="dxa" w:w="4968"/>
            <w:vAlign w:val="top"/>
          </w:tcPr>
          <w:p>
            <w:r>
              <w:rPr>
                <w:sz w:val="16"/>
              </w:rPr>
              <w:t>Evidence: docs/evidence/tc06_tc07.txt. Defect ID (if any): see docs/DEFECT_LOG.md.</w:t>
            </w:r>
          </w:p>
        </w:tc>
      </w:tr>
    </w:tbl>
    <w:p>
      <w:pPr>
        <w:pStyle w:val="Heading2"/>
      </w:pPr>
      <w:r>
        <w:t>TC-07 — FR-07, FR-09</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Use a fixture where required skills are partly present and partly absent.</w:t>
            </w:r>
          </w:p>
        </w:tc>
      </w:tr>
      <w:tr>
        <w:tc>
          <w:tcPr>
            <w:tcW w:type="dxa" w:w="4968"/>
            <w:vAlign w:val="top"/>
          </w:tcPr>
          <w:p>
            <w:r>
              <w:rPr>
                <w:sz w:val="16"/>
              </w:rPr>
              <w:t>Expected result</w:t>
            </w:r>
          </w:p>
        </w:tc>
        <w:tc>
          <w:tcPr>
            <w:tcW w:type="dxa" w:w="4968"/>
            <w:vAlign w:val="top"/>
          </w:tcPr>
          <w:p>
            <w:r>
              <w:rPr>
                <w:sz w:val="16"/>
              </w:rPr>
              <w:t>Matched/missing skills and explanation are consistent with the fixture and do not assert unsupported evidence.</w:t>
            </w:r>
          </w:p>
        </w:tc>
      </w:tr>
      <w:tr>
        <w:tc>
          <w:tcPr>
            <w:tcW w:type="dxa" w:w="4968"/>
            <w:vAlign w:val="top"/>
          </w:tcPr>
          <w:p>
            <w:r>
              <w:rPr>
                <w:sz w:val="16"/>
              </w:rPr>
              <w:t>Status</w:t>
            </w:r>
          </w:p>
        </w:tc>
        <w:tc>
          <w:tcPr>
            <w:tcW w:type="dxa" w:w="4968"/>
            <w:vAlign w:val="top"/>
          </w:tcPr>
          <w:p>
            <w:r>
              <w:rPr>
                <w:sz w:val="16"/>
              </w:rPr>
              <w:t>Executed 30 Oct 2026 — see docs/TEST_REPORT.md, row TC-07.</w:t>
            </w:r>
          </w:p>
        </w:tc>
      </w:tr>
      <w:tr>
        <w:tc>
          <w:tcPr>
            <w:tcW w:type="dxa" w:w="4968"/>
            <w:vAlign w:val="top"/>
          </w:tcPr>
          <w:p>
            <w:r>
              <w:rPr>
                <w:sz w:val="16"/>
              </w:rPr>
              <w:t>Evidence / defect</w:t>
            </w:r>
          </w:p>
        </w:tc>
        <w:tc>
          <w:tcPr>
            <w:tcW w:type="dxa" w:w="4968"/>
            <w:vAlign w:val="top"/>
          </w:tcPr>
          <w:p>
            <w:r>
              <w:rPr>
                <w:sz w:val="16"/>
              </w:rPr>
              <w:t>Evidence: docs/evidence/tc06_tc07.txt. Defect ID (if any): see docs/DEFECT_LOG.md.</w:t>
            </w:r>
          </w:p>
        </w:tc>
      </w:tr>
    </w:tbl>
    <w:p>
      <w:pPr>
        <w:pStyle w:val="Heading2"/>
      </w:pPr>
      <w:r>
        <w:t>TC-08 — FR-08, SR-05</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Functional/Security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Run recommendation workflow with tool-call tracing; attempt an unknown tool name and malformed arguments.</w:t>
            </w:r>
          </w:p>
        </w:tc>
      </w:tr>
      <w:tr>
        <w:tc>
          <w:tcPr>
            <w:tcW w:type="dxa" w:w="4968"/>
            <w:vAlign w:val="top"/>
          </w:tcPr>
          <w:p>
            <w:r>
              <w:rPr>
                <w:sz w:val="16"/>
              </w:rPr>
              <w:t>Expected result</w:t>
            </w:r>
          </w:p>
        </w:tc>
        <w:tc>
          <w:tcPr>
            <w:tcW w:type="dxa" w:w="4968"/>
            <w:vAlign w:val="top"/>
          </w:tcPr>
          <w:p>
            <w:r>
              <w:rPr>
                <w:sz w:val="16"/>
              </w:rPr>
              <w:t>Expected tools run in the defined order/conditions; unknown tools and invalid arguments are rejected.</w:t>
            </w:r>
          </w:p>
        </w:tc>
      </w:tr>
      <w:tr>
        <w:tc>
          <w:tcPr>
            <w:tcW w:type="dxa" w:w="4968"/>
            <w:vAlign w:val="top"/>
          </w:tcPr>
          <w:p>
            <w:r>
              <w:rPr>
                <w:sz w:val="16"/>
              </w:rPr>
              <w:t>Status</w:t>
            </w:r>
          </w:p>
        </w:tc>
        <w:tc>
          <w:tcPr>
            <w:tcW w:type="dxa" w:w="4968"/>
            <w:vAlign w:val="top"/>
          </w:tcPr>
          <w:p>
            <w:r>
              <w:rPr>
                <w:sz w:val="16"/>
              </w:rPr>
              <w:t>Executed 30 Oct 2026 — see docs/TEST_REPORT.md, row TC-08.</w:t>
            </w:r>
          </w:p>
        </w:tc>
      </w:tr>
      <w:tr>
        <w:tc>
          <w:tcPr>
            <w:tcW w:type="dxa" w:w="4968"/>
            <w:vAlign w:val="top"/>
          </w:tcPr>
          <w:p>
            <w:r>
              <w:rPr>
                <w:sz w:val="16"/>
              </w:rPr>
              <w:t>Evidence / defect</w:t>
            </w:r>
          </w:p>
        </w:tc>
        <w:tc>
          <w:tcPr>
            <w:tcW w:type="dxa" w:w="4968"/>
            <w:vAlign w:val="top"/>
          </w:tcPr>
          <w:p>
            <w:r>
              <w:rPr>
                <w:sz w:val="16"/>
              </w:rPr>
              <w:t>Evidence: docs/evidence/tc08_tc13.txt. Defect ID (if any): see docs/DEFECT_LOG.md.</w:t>
            </w:r>
          </w:p>
        </w:tc>
      </w:tr>
    </w:tbl>
    <w:p>
      <w:pPr>
        <w:pStyle w:val="Heading2"/>
      </w:pPr>
      <w:r>
        <w:t>TC-09 — FR-12, SR-01</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Security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Authenticate as User A and request User B's resume, bookmark, and application IDs.</w:t>
            </w:r>
          </w:p>
        </w:tc>
      </w:tr>
      <w:tr>
        <w:tc>
          <w:tcPr>
            <w:tcW w:type="dxa" w:w="4968"/>
            <w:vAlign w:val="top"/>
          </w:tcPr>
          <w:p>
            <w:r>
              <w:rPr>
                <w:sz w:val="16"/>
              </w:rPr>
              <w:t>Expected result</w:t>
            </w:r>
          </w:p>
        </w:tc>
        <w:tc>
          <w:tcPr>
            <w:tcW w:type="dxa" w:w="4968"/>
            <w:vAlign w:val="top"/>
          </w:tcPr>
          <w:p>
            <w:r>
              <w:rPr>
                <w:sz w:val="16"/>
              </w:rPr>
              <w:t>Requests are denied without disclosing record contents; authorization is checked server-side.</w:t>
            </w:r>
          </w:p>
        </w:tc>
      </w:tr>
      <w:tr>
        <w:tc>
          <w:tcPr>
            <w:tcW w:type="dxa" w:w="4968"/>
            <w:vAlign w:val="top"/>
          </w:tcPr>
          <w:p>
            <w:r>
              <w:rPr>
                <w:sz w:val="16"/>
              </w:rPr>
              <w:t>Status</w:t>
            </w:r>
          </w:p>
        </w:tc>
        <w:tc>
          <w:tcPr>
            <w:tcW w:type="dxa" w:w="4968"/>
            <w:vAlign w:val="top"/>
          </w:tcPr>
          <w:p>
            <w:r>
              <w:rPr>
                <w:sz w:val="16"/>
              </w:rPr>
              <w:t>Executed 30 Oct 2026 — see docs/TEST_REPORT.md, row TC-09.</w:t>
            </w:r>
          </w:p>
        </w:tc>
      </w:tr>
      <w:tr>
        <w:tc>
          <w:tcPr>
            <w:tcW w:type="dxa" w:w="4968"/>
            <w:vAlign w:val="top"/>
          </w:tcPr>
          <w:p>
            <w:r>
              <w:rPr>
                <w:sz w:val="16"/>
              </w:rPr>
              <w:t>Evidence / defect</w:t>
            </w:r>
          </w:p>
        </w:tc>
        <w:tc>
          <w:tcPr>
            <w:tcW w:type="dxa" w:w="4968"/>
            <w:vAlign w:val="top"/>
          </w:tcPr>
          <w:p>
            <w:r>
              <w:rPr>
                <w:sz w:val="16"/>
              </w:rPr>
              <w:t>Evidence: docs/evidence/tc09.txt. Defect ID (if any): see docs/DEFECT_LOG.md.</w:t>
            </w:r>
          </w:p>
        </w:tc>
      </w:tr>
    </w:tbl>
    <w:p>
      <w:pPr>
        <w:pStyle w:val="Heading2"/>
      </w:pPr>
      <w:r>
        <w:t>TC-10 — FR-10</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Bookmark a job, retrieve bookmarks, remove the bookmark, and retrieve again.</w:t>
            </w:r>
          </w:p>
        </w:tc>
      </w:tr>
      <w:tr>
        <w:tc>
          <w:tcPr>
            <w:tcW w:type="dxa" w:w="4968"/>
            <w:vAlign w:val="top"/>
          </w:tcPr>
          <w:p>
            <w:r>
              <w:rPr>
                <w:sz w:val="16"/>
              </w:rPr>
              <w:t>Expected result</w:t>
            </w:r>
          </w:p>
        </w:tc>
        <w:tc>
          <w:tcPr>
            <w:tcW w:type="dxa" w:w="4968"/>
            <w:vAlign w:val="top"/>
          </w:tcPr>
          <w:p>
            <w:r>
              <w:rPr>
                <w:sz w:val="16"/>
              </w:rPr>
              <w:t>Bookmark persists for the owner, is removed correctly, and is not visible to another user.</w:t>
            </w:r>
          </w:p>
        </w:tc>
      </w:tr>
      <w:tr>
        <w:tc>
          <w:tcPr>
            <w:tcW w:type="dxa" w:w="4968"/>
            <w:vAlign w:val="top"/>
          </w:tcPr>
          <w:p>
            <w:r>
              <w:rPr>
                <w:sz w:val="16"/>
              </w:rPr>
              <w:t>Status</w:t>
            </w:r>
          </w:p>
        </w:tc>
        <w:tc>
          <w:tcPr>
            <w:tcW w:type="dxa" w:w="4968"/>
            <w:vAlign w:val="top"/>
          </w:tcPr>
          <w:p>
            <w:r>
              <w:rPr>
                <w:sz w:val="16"/>
              </w:rPr>
              <w:t>Executed 30 Oct 2026 — see docs/TEST_REPORT.md, row TC-10.</w:t>
            </w:r>
          </w:p>
        </w:tc>
      </w:tr>
      <w:tr>
        <w:tc>
          <w:tcPr>
            <w:tcW w:type="dxa" w:w="4968"/>
            <w:vAlign w:val="top"/>
          </w:tcPr>
          <w:p>
            <w:r>
              <w:rPr>
                <w:sz w:val="16"/>
              </w:rPr>
              <w:t>Evidence / defect</w:t>
            </w:r>
          </w:p>
        </w:tc>
        <w:tc>
          <w:tcPr>
            <w:tcW w:type="dxa" w:w="4968"/>
            <w:vAlign w:val="top"/>
          </w:tcPr>
          <w:p>
            <w:r>
              <w:rPr>
                <w:sz w:val="16"/>
              </w:rPr>
              <w:t>Evidence: docs/evidence/tc10.txt. Defect ID (if any): see docs/DEFECT_LOG.md.</w:t>
            </w:r>
          </w:p>
        </w:tc>
      </w:tr>
    </w:tbl>
    <w:p>
      <w:pPr>
        <w:pStyle w:val="Heading2"/>
      </w:pPr>
      <w:r>
        <w:t>TC-11 — FR-11</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Functional</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Create an application record and update it through supported statuses; submit an unsupported status.</w:t>
            </w:r>
          </w:p>
        </w:tc>
      </w:tr>
      <w:tr>
        <w:tc>
          <w:tcPr>
            <w:tcW w:type="dxa" w:w="4968"/>
            <w:vAlign w:val="top"/>
          </w:tcPr>
          <w:p>
            <w:r>
              <w:rPr>
                <w:sz w:val="16"/>
              </w:rPr>
              <w:t>Expected result</w:t>
            </w:r>
          </w:p>
        </w:tc>
        <w:tc>
          <w:tcPr>
            <w:tcW w:type="dxa" w:w="4968"/>
            <w:vAlign w:val="top"/>
          </w:tcPr>
          <w:p>
            <w:r>
              <w:rPr>
                <w:sz w:val="16"/>
              </w:rPr>
              <w:t>Valid status changes persist; unsupported status is rejected.</w:t>
            </w:r>
          </w:p>
        </w:tc>
      </w:tr>
      <w:tr>
        <w:tc>
          <w:tcPr>
            <w:tcW w:type="dxa" w:w="4968"/>
            <w:vAlign w:val="top"/>
          </w:tcPr>
          <w:p>
            <w:r>
              <w:rPr>
                <w:sz w:val="16"/>
              </w:rPr>
              <w:t>Status</w:t>
            </w:r>
          </w:p>
        </w:tc>
        <w:tc>
          <w:tcPr>
            <w:tcW w:type="dxa" w:w="4968"/>
            <w:vAlign w:val="top"/>
          </w:tcPr>
          <w:p>
            <w:r>
              <w:rPr>
                <w:sz w:val="16"/>
              </w:rPr>
              <w:t>Executed 30 Oct 2026 — see docs/TEST_REPORT.md, row TC-11.</w:t>
            </w:r>
          </w:p>
        </w:tc>
      </w:tr>
      <w:tr>
        <w:tc>
          <w:tcPr>
            <w:tcW w:type="dxa" w:w="4968"/>
            <w:vAlign w:val="top"/>
          </w:tcPr>
          <w:p>
            <w:r>
              <w:rPr>
                <w:sz w:val="16"/>
              </w:rPr>
              <w:t>Evidence / defect</w:t>
            </w:r>
          </w:p>
        </w:tc>
        <w:tc>
          <w:tcPr>
            <w:tcW w:type="dxa" w:w="4968"/>
            <w:vAlign w:val="top"/>
          </w:tcPr>
          <w:p>
            <w:r>
              <w:rPr>
                <w:sz w:val="16"/>
              </w:rPr>
              <w:t>Evidence: docs/evidence/tc11.txt. Defect ID (if any): see docs/DEFECT_LOG.md.</w:t>
            </w:r>
          </w:p>
        </w:tc>
      </w:tr>
    </w:tbl>
    <w:p>
      <w:pPr>
        <w:pStyle w:val="Heading2"/>
      </w:pPr>
      <w:r>
        <w:t>TC-12 — FR-14, SR-04</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Reliability/Security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Simulate parser failure and AI-provider timeout; inspect API response and logs.</w:t>
            </w:r>
          </w:p>
        </w:tc>
      </w:tr>
      <w:tr>
        <w:tc>
          <w:tcPr>
            <w:tcW w:type="dxa" w:w="4968"/>
            <w:vAlign w:val="top"/>
          </w:tcPr>
          <w:p>
            <w:r>
              <w:rPr>
                <w:sz w:val="16"/>
              </w:rPr>
              <w:t>Expected result</w:t>
            </w:r>
          </w:p>
        </w:tc>
        <w:tc>
          <w:tcPr>
            <w:tcW w:type="dxa" w:w="4968"/>
            <w:vAlign w:val="top"/>
          </w:tcPr>
          <w:p>
            <w:r>
              <w:rPr>
                <w:sz w:val="16"/>
              </w:rPr>
              <w:t>System returns a safe structured error, does not crash the request handler, and exposes no secrets or stack trace.</w:t>
            </w:r>
          </w:p>
        </w:tc>
      </w:tr>
      <w:tr>
        <w:tc>
          <w:tcPr>
            <w:tcW w:type="dxa" w:w="4968"/>
            <w:vAlign w:val="top"/>
          </w:tcPr>
          <w:p>
            <w:r>
              <w:rPr>
                <w:sz w:val="16"/>
              </w:rPr>
              <w:t>Status</w:t>
            </w:r>
          </w:p>
        </w:tc>
        <w:tc>
          <w:tcPr>
            <w:tcW w:type="dxa" w:w="4968"/>
            <w:vAlign w:val="top"/>
          </w:tcPr>
          <w:p>
            <w:r>
              <w:rPr>
                <w:sz w:val="16"/>
              </w:rPr>
              <w:t>Executed 30 Oct 2026 — see docs/TEST_REPORT.md, row TC-12.</w:t>
            </w:r>
          </w:p>
        </w:tc>
      </w:tr>
      <w:tr>
        <w:tc>
          <w:tcPr>
            <w:tcW w:type="dxa" w:w="4968"/>
            <w:vAlign w:val="top"/>
          </w:tcPr>
          <w:p>
            <w:r>
              <w:rPr>
                <w:sz w:val="16"/>
              </w:rPr>
              <w:t>Evidence / defect</w:t>
            </w:r>
          </w:p>
        </w:tc>
        <w:tc>
          <w:tcPr>
            <w:tcW w:type="dxa" w:w="4968"/>
            <w:vAlign w:val="top"/>
          </w:tcPr>
          <w:p>
            <w:r>
              <w:rPr>
                <w:sz w:val="16"/>
              </w:rPr>
              <w:t>Evidence: docs/evidence/tc12.txt. Defect ID (if any): see docs/DEFECT_LOG.md.</w:t>
            </w:r>
          </w:p>
        </w:tc>
      </w:tr>
    </w:tbl>
    <w:p>
      <w:pPr>
        <w:pStyle w:val="Heading2"/>
      </w:pPr>
      <w:r>
        <w:t>TC-13 — FR-13, SR-06</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Security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Run recommendation flow with external transfer disabled; inspect outbound calls. Then test the consent gate in a controlled environment.</w:t>
            </w:r>
          </w:p>
        </w:tc>
      </w:tr>
      <w:tr>
        <w:tc>
          <w:tcPr>
            <w:tcW w:type="dxa" w:w="4968"/>
            <w:vAlign w:val="top"/>
          </w:tcPr>
          <w:p>
            <w:r>
              <w:rPr>
                <w:sz w:val="16"/>
              </w:rPr>
              <w:t>Expected result</w:t>
            </w:r>
          </w:p>
        </w:tc>
        <w:tc>
          <w:tcPr>
            <w:tcW w:type="dxa" w:w="4968"/>
            <w:vAlign w:val="top"/>
          </w:tcPr>
          <w:p>
            <w:r>
              <w:rPr>
                <w:sz w:val="16"/>
              </w:rPr>
              <w:t>No external resume transfer occurs without explicit authorization; authorized transfer is limited to disclosed data and provider.</w:t>
            </w:r>
          </w:p>
        </w:tc>
      </w:tr>
      <w:tr>
        <w:tc>
          <w:tcPr>
            <w:tcW w:type="dxa" w:w="4968"/>
            <w:vAlign w:val="top"/>
          </w:tcPr>
          <w:p>
            <w:r>
              <w:rPr>
                <w:sz w:val="16"/>
              </w:rPr>
              <w:t>Status</w:t>
            </w:r>
          </w:p>
        </w:tc>
        <w:tc>
          <w:tcPr>
            <w:tcW w:type="dxa" w:w="4968"/>
            <w:vAlign w:val="top"/>
          </w:tcPr>
          <w:p>
            <w:r>
              <w:rPr>
                <w:sz w:val="16"/>
              </w:rPr>
              <w:t>Executed 30 Oct 2026 — see docs/TEST_REPORT.md, row TC-13.</w:t>
            </w:r>
          </w:p>
        </w:tc>
      </w:tr>
      <w:tr>
        <w:tc>
          <w:tcPr>
            <w:tcW w:type="dxa" w:w="4968"/>
            <w:vAlign w:val="top"/>
          </w:tcPr>
          <w:p>
            <w:r>
              <w:rPr>
                <w:sz w:val="16"/>
              </w:rPr>
              <w:t>Evidence / defect</w:t>
            </w:r>
          </w:p>
        </w:tc>
        <w:tc>
          <w:tcPr>
            <w:tcW w:type="dxa" w:w="4968"/>
            <w:vAlign w:val="top"/>
          </w:tcPr>
          <w:p>
            <w:r>
              <w:rPr>
                <w:sz w:val="16"/>
              </w:rPr>
              <w:t>Evidence: docs/evidence/tc08_tc13.txt. Defect ID (if any): see docs/DEFECT_LOG.md.</w:t>
            </w:r>
          </w:p>
        </w:tc>
      </w:tr>
    </w:tbl>
    <w:p>
      <w:pPr>
        <w:pStyle w:val="Heading2"/>
      </w:pPr>
      <w:r>
        <w:t>TC-14 — NFR-03</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Reliability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Execute 100 valid matching requests against a healthy local environment and count successful valid responses.</w:t>
            </w:r>
          </w:p>
        </w:tc>
      </w:tr>
      <w:tr>
        <w:tc>
          <w:tcPr>
            <w:tcW w:type="dxa" w:w="4968"/>
            <w:vAlign w:val="top"/>
          </w:tcPr>
          <w:p>
            <w:r>
              <w:rPr>
                <w:sz w:val="16"/>
              </w:rPr>
              <w:t>Expected result</w:t>
            </w:r>
          </w:p>
        </w:tc>
        <w:tc>
          <w:tcPr>
            <w:tcW w:type="dxa" w:w="4968"/>
            <w:vAlign w:val="top"/>
          </w:tcPr>
          <w:p>
            <w:r>
              <w:rPr>
                <w:sz w:val="16"/>
              </w:rPr>
              <w:t>At least 99 requests return schema-valid matching results.</w:t>
            </w:r>
          </w:p>
        </w:tc>
      </w:tr>
      <w:tr>
        <w:tc>
          <w:tcPr>
            <w:tcW w:type="dxa" w:w="4968"/>
            <w:vAlign w:val="top"/>
          </w:tcPr>
          <w:p>
            <w:r>
              <w:rPr>
                <w:sz w:val="16"/>
              </w:rPr>
              <w:t>Status</w:t>
            </w:r>
          </w:p>
        </w:tc>
        <w:tc>
          <w:tcPr>
            <w:tcW w:type="dxa" w:w="4968"/>
            <w:vAlign w:val="top"/>
          </w:tcPr>
          <w:p>
            <w:r>
              <w:rPr>
                <w:sz w:val="16"/>
              </w:rPr>
              <w:t>Executed 30 Oct 2026 — see docs/TEST_REPORT.md, row TC-14.</w:t>
            </w:r>
          </w:p>
        </w:tc>
      </w:tr>
      <w:tr>
        <w:tc>
          <w:tcPr>
            <w:tcW w:type="dxa" w:w="4968"/>
            <w:vAlign w:val="top"/>
          </w:tcPr>
          <w:p>
            <w:r>
              <w:rPr>
                <w:sz w:val="16"/>
              </w:rPr>
              <w:t>Evidence / defect</w:t>
            </w:r>
          </w:p>
        </w:tc>
        <w:tc>
          <w:tcPr>
            <w:tcW w:type="dxa" w:w="4968"/>
            <w:vAlign w:val="top"/>
          </w:tcPr>
          <w:p>
            <w:r>
              <w:rPr>
                <w:sz w:val="16"/>
              </w:rPr>
              <w:t>Evidence: docs/evidence/tc14.txt. Defect ID (if any): see docs/DEFECT_LOG.md.</w:t>
            </w:r>
          </w:p>
        </w:tc>
      </w:tr>
    </w:tbl>
    <w:p>
      <w:pPr>
        <w:pStyle w:val="Heading2"/>
      </w:pPr>
      <w:r>
        <w:t>TC-15 — NFR-04, NFR-08</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Field</w:t>
            </w:r>
          </w:p>
        </w:tc>
        <w:tc>
          <w:tcPr>
            <w:tcW w:type="dxa" w:w="4968"/>
            <w:shd w:fill="1F4E79"/>
          </w:tcPr>
          <w:p>
            <w:r>
              <w:rPr>
                <w:b/>
                <w:color w:val="FFFFFF"/>
                <w:sz w:val="16"/>
              </w:rPr>
              <w:t>Specification</w:t>
            </w:r>
          </w:p>
        </w:tc>
      </w:tr>
      <w:tr>
        <w:tc>
          <w:tcPr>
            <w:tcW w:type="dxa" w:w="4968"/>
            <w:vAlign w:val="top"/>
          </w:tcPr>
          <w:p>
            <w:r>
              <w:rPr>
                <w:sz w:val="16"/>
              </w:rPr>
              <w:t>Objective</w:t>
            </w:r>
          </w:p>
        </w:tc>
        <w:tc>
          <w:tcPr>
            <w:tcW w:type="dxa" w:w="4968"/>
            <w:vAlign w:val="top"/>
          </w:tcPr>
          <w:p>
            <w:r>
              <w:rPr>
                <w:sz w:val="16"/>
              </w:rPr>
              <w:t>Usability/Accessibility</w:t>
            </w:r>
          </w:p>
        </w:tc>
      </w:tr>
      <w:tr>
        <w:tc>
          <w:tcPr>
            <w:tcW w:type="dxa" w:w="4968"/>
            <w:vAlign w:val="top"/>
          </w:tcPr>
          <w:p>
            <w:r>
              <w:rPr>
                <w:sz w:val="16"/>
              </w:rPr>
              <w:t>Preconditions</w:t>
            </w:r>
          </w:p>
        </w:tc>
        <w:tc>
          <w:tcPr>
            <w:tcW w:type="dxa" w:w="4968"/>
            <w:vAlign w:val="top"/>
          </w:tcPr>
          <w:p>
            <w:r>
              <w:rPr>
                <w:sz w:val="16"/>
              </w:rPr>
              <w:t>Application is running; test database is seeded; synthetic test accounts/fixtures are available as required.</w:t>
            </w:r>
          </w:p>
        </w:tc>
      </w:tr>
      <w:tr>
        <w:tc>
          <w:tcPr>
            <w:tcW w:type="dxa" w:w="4968"/>
            <w:vAlign w:val="top"/>
          </w:tcPr>
          <w:p>
            <w:r>
              <w:rPr>
                <w:sz w:val="16"/>
              </w:rPr>
              <w:t>Steps / test data</w:t>
            </w:r>
          </w:p>
        </w:tc>
        <w:tc>
          <w:tcPr>
            <w:tcW w:type="dxa" w:w="4968"/>
            <w:vAlign w:val="top"/>
          </w:tcPr>
          <w:p>
            <w:r>
              <w:rPr>
                <w:sz w:val="16"/>
              </w:rPr>
              <w:t>Ask five representative users to upload a resume and view a match result; inspect keyboard-only navigation and labels.</w:t>
            </w:r>
          </w:p>
        </w:tc>
      </w:tr>
      <w:tr>
        <w:tc>
          <w:tcPr>
            <w:tcW w:type="dxa" w:w="4968"/>
            <w:vAlign w:val="top"/>
          </w:tcPr>
          <w:p>
            <w:r>
              <w:rPr>
                <w:sz w:val="16"/>
              </w:rPr>
              <w:t>Expected result</w:t>
            </w:r>
          </w:p>
        </w:tc>
        <w:tc>
          <w:tcPr>
            <w:tcW w:type="dxa" w:w="4968"/>
            <w:vAlign w:val="top"/>
          </w:tcPr>
          <w:p>
            <w:r>
              <w:rPr>
                <w:sz w:val="16"/>
              </w:rPr>
              <w:t>At least four users finish without help; core journey is keyboard-operable and controls have labels.</w:t>
            </w:r>
          </w:p>
        </w:tc>
      </w:tr>
      <w:tr>
        <w:tc>
          <w:tcPr>
            <w:tcW w:type="dxa" w:w="4968"/>
            <w:vAlign w:val="top"/>
          </w:tcPr>
          <w:p>
            <w:r>
              <w:rPr>
                <w:sz w:val="16"/>
              </w:rPr>
              <w:t>Status</w:t>
            </w:r>
          </w:p>
        </w:tc>
        <w:tc>
          <w:tcPr>
            <w:tcW w:type="dxa" w:w="4968"/>
            <w:vAlign w:val="top"/>
          </w:tcPr>
          <w:p>
            <w:r>
              <w:rPr>
                <w:sz w:val="16"/>
              </w:rPr>
              <w:t>Executed 30 Oct 2026 — see docs/TEST_REPORT.md, row TC-15.</w:t>
            </w:r>
          </w:p>
        </w:tc>
      </w:tr>
      <w:tr>
        <w:tc>
          <w:tcPr>
            <w:tcW w:type="dxa" w:w="4968"/>
            <w:vAlign w:val="top"/>
          </w:tcPr>
          <w:p>
            <w:r>
              <w:rPr>
                <w:sz w:val="16"/>
              </w:rPr>
              <w:t>Evidence / defect</w:t>
            </w:r>
          </w:p>
        </w:tc>
        <w:tc>
          <w:tcPr>
            <w:tcW w:type="dxa" w:w="4968"/>
            <w:vAlign w:val="top"/>
          </w:tcPr>
          <w:p>
            <w:r>
              <w:rPr>
                <w:sz w:val="16"/>
              </w:rPr>
              <w:t>Evidence: docs/USABILITY.md and docs/evidence/nfr08_lighthouse.txt. Defect ID (if any): see docs/DEFECT_LOG.md.</w:t>
            </w:r>
          </w:p>
        </w:tc>
      </w:tr>
    </w:tbl>
    <w:p>
      <w:pPr>
        <w:pStyle w:val="Heading1"/>
      </w:pPr>
      <w:r>
        <w:t>7. Traceability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Requirement(s)</w:t>
            </w:r>
          </w:p>
        </w:tc>
        <w:tc>
          <w:tcPr>
            <w:tcW w:type="dxa" w:w="3312"/>
            <w:shd w:fill="1F4E79"/>
          </w:tcPr>
          <w:p>
            <w:r>
              <w:rPr>
                <w:b/>
                <w:color w:val="FFFFFF"/>
                <w:sz w:val="16"/>
              </w:rPr>
              <w:t>Design element / test target</w:t>
            </w:r>
          </w:p>
        </w:tc>
        <w:tc>
          <w:tcPr>
            <w:tcW w:type="dxa" w:w="3312"/>
            <w:shd w:fill="1F4E79"/>
          </w:tcPr>
          <w:p>
            <w:r>
              <w:rPr>
                <w:b/>
                <w:color w:val="FFFFFF"/>
                <w:sz w:val="16"/>
              </w:rPr>
              <w:t>Verification</w:t>
            </w:r>
          </w:p>
        </w:tc>
      </w:tr>
      <w:tr>
        <w:tc>
          <w:tcPr>
            <w:tcW w:type="dxa" w:w="3312"/>
            <w:vAlign w:val="top"/>
          </w:tcPr>
          <w:p>
            <w:r>
              <w:rPr>
                <w:sz w:val="16"/>
              </w:rPr>
              <w:t>FR-01</w:t>
            </w:r>
          </w:p>
        </w:tc>
        <w:tc>
          <w:tcPr>
            <w:tcW w:type="dxa" w:w="3312"/>
            <w:vAlign w:val="top"/>
          </w:tcPr>
          <w:p>
            <w:r>
              <w:rPr>
                <w:sz w:val="16"/>
              </w:rPr>
              <w:t>Account service / registration endpoint</w:t>
            </w:r>
          </w:p>
        </w:tc>
        <w:tc>
          <w:tcPr>
            <w:tcW w:type="dxa" w:w="3312"/>
            <w:vAlign w:val="top"/>
          </w:tcPr>
          <w:p>
            <w:r>
              <w:rPr>
                <w:sz w:val="16"/>
              </w:rPr>
              <w:t>TC-01</w:t>
            </w:r>
          </w:p>
        </w:tc>
      </w:tr>
      <w:tr>
        <w:tc>
          <w:tcPr>
            <w:tcW w:type="dxa" w:w="3312"/>
            <w:vAlign w:val="top"/>
          </w:tcPr>
          <w:p>
            <w:r>
              <w:rPr>
                <w:sz w:val="16"/>
              </w:rPr>
              <w:t>FR-02, SR-01</w:t>
            </w:r>
          </w:p>
        </w:tc>
        <w:tc>
          <w:tcPr>
            <w:tcW w:type="dxa" w:w="3312"/>
            <w:vAlign w:val="top"/>
          </w:tcPr>
          <w:p>
            <w:r>
              <w:rPr>
                <w:sz w:val="16"/>
              </w:rPr>
              <w:t>Authentication middleware and user service</w:t>
            </w:r>
          </w:p>
        </w:tc>
        <w:tc>
          <w:tcPr>
            <w:tcW w:type="dxa" w:w="3312"/>
            <w:vAlign w:val="top"/>
          </w:tcPr>
          <w:p>
            <w:r>
              <w:rPr>
                <w:sz w:val="16"/>
              </w:rPr>
              <w:t>TC-02</w:t>
            </w:r>
          </w:p>
        </w:tc>
      </w:tr>
      <w:tr>
        <w:tc>
          <w:tcPr>
            <w:tcW w:type="dxa" w:w="3312"/>
            <w:vAlign w:val="top"/>
          </w:tcPr>
          <w:p>
            <w:r>
              <w:rPr>
                <w:sz w:val="16"/>
              </w:rPr>
              <w:t>FR-03, SR-03</w:t>
            </w:r>
          </w:p>
        </w:tc>
        <w:tc>
          <w:tcPr>
            <w:tcW w:type="dxa" w:w="3312"/>
            <w:vAlign w:val="top"/>
          </w:tcPr>
          <w:p>
            <w:r>
              <w:rPr>
                <w:sz w:val="16"/>
              </w:rPr>
              <w:t>Upload API and file validation service</w:t>
            </w:r>
          </w:p>
        </w:tc>
        <w:tc>
          <w:tcPr>
            <w:tcW w:type="dxa" w:w="3312"/>
            <w:vAlign w:val="top"/>
          </w:tcPr>
          <w:p>
            <w:r>
              <w:rPr>
                <w:sz w:val="16"/>
              </w:rPr>
              <w:t>TC-03</w:t>
            </w:r>
          </w:p>
        </w:tc>
      </w:tr>
      <w:tr>
        <w:tc>
          <w:tcPr>
            <w:tcW w:type="dxa" w:w="3312"/>
            <w:vAlign w:val="top"/>
          </w:tcPr>
          <w:p>
            <w:r>
              <w:rPr>
                <w:sz w:val="16"/>
              </w:rPr>
              <w:t>FR-04</w:t>
            </w:r>
          </w:p>
        </w:tc>
        <w:tc>
          <w:tcPr>
            <w:tcW w:type="dxa" w:w="3312"/>
            <w:vAlign w:val="top"/>
          </w:tcPr>
          <w:p>
            <w:r>
              <w:rPr>
                <w:sz w:val="16"/>
              </w:rPr>
              <w:t>Resume parser service</w:t>
            </w:r>
          </w:p>
        </w:tc>
        <w:tc>
          <w:tcPr>
            <w:tcW w:type="dxa" w:w="3312"/>
            <w:vAlign w:val="top"/>
          </w:tcPr>
          <w:p>
            <w:r>
              <w:rPr>
                <w:sz w:val="16"/>
              </w:rPr>
              <w:t>TC-04</w:t>
            </w:r>
          </w:p>
        </w:tc>
      </w:tr>
      <w:tr>
        <w:tc>
          <w:tcPr>
            <w:tcW w:type="dxa" w:w="3312"/>
            <w:vAlign w:val="top"/>
          </w:tcPr>
          <w:p>
            <w:r>
              <w:rPr>
                <w:sz w:val="16"/>
              </w:rPr>
              <w:t>FR-05, NFR-01</w:t>
            </w:r>
          </w:p>
        </w:tc>
        <w:tc>
          <w:tcPr>
            <w:tcW w:type="dxa" w:w="3312"/>
            <w:vAlign w:val="top"/>
          </w:tcPr>
          <w:p>
            <w:r>
              <w:rPr>
                <w:sz w:val="16"/>
              </w:rPr>
              <w:t>Job search service/repository</w:t>
            </w:r>
          </w:p>
        </w:tc>
        <w:tc>
          <w:tcPr>
            <w:tcW w:type="dxa" w:w="3312"/>
            <w:vAlign w:val="top"/>
          </w:tcPr>
          <w:p>
            <w:r>
              <w:rPr>
                <w:sz w:val="16"/>
              </w:rPr>
              <w:t>TC-05</w:t>
            </w:r>
          </w:p>
        </w:tc>
      </w:tr>
      <w:tr>
        <w:tc>
          <w:tcPr>
            <w:tcW w:type="dxa" w:w="3312"/>
            <w:vAlign w:val="top"/>
          </w:tcPr>
          <w:p>
            <w:r>
              <w:rPr>
                <w:sz w:val="16"/>
              </w:rPr>
              <w:t>FR-06</w:t>
            </w:r>
          </w:p>
        </w:tc>
        <w:tc>
          <w:tcPr>
            <w:tcW w:type="dxa" w:w="3312"/>
            <w:vAlign w:val="top"/>
          </w:tcPr>
          <w:p>
            <w:r>
              <w:rPr>
                <w:sz w:val="16"/>
              </w:rPr>
              <w:t>Matching engine</w:t>
            </w:r>
          </w:p>
        </w:tc>
        <w:tc>
          <w:tcPr>
            <w:tcW w:type="dxa" w:w="3312"/>
            <w:vAlign w:val="top"/>
          </w:tcPr>
          <w:p>
            <w:r>
              <w:rPr>
                <w:sz w:val="16"/>
              </w:rPr>
              <w:t>TC-06</w:t>
            </w:r>
          </w:p>
        </w:tc>
      </w:tr>
      <w:tr>
        <w:tc>
          <w:tcPr>
            <w:tcW w:type="dxa" w:w="3312"/>
            <w:vAlign w:val="top"/>
          </w:tcPr>
          <w:p>
            <w:r>
              <w:rPr>
                <w:sz w:val="16"/>
              </w:rPr>
              <w:t>FR-07, FR-09</w:t>
            </w:r>
          </w:p>
        </w:tc>
        <w:tc>
          <w:tcPr>
            <w:tcW w:type="dxa" w:w="3312"/>
            <w:vAlign w:val="top"/>
          </w:tcPr>
          <w:p>
            <w:r>
              <w:rPr>
                <w:sz w:val="16"/>
              </w:rPr>
              <w:t>Skill-gap analyzer and explanation builder</w:t>
            </w:r>
          </w:p>
        </w:tc>
        <w:tc>
          <w:tcPr>
            <w:tcW w:type="dxa" w:w="3312"/>
            <w:vAlign w:val="top"/>
          </w:tcPr>
          <w:p>
            <w:r>
              <w:rPr>
                <w:sz w:val="16"/>
              </w:rPr>
              <w:t>TC-07</w:t>
            </w:r>
          </w:p>
        </w:tc>
      </w:tr>
      <w:tr>
        <w:tc>
          <w:tcPr>
            <w:tcW w:type="dxa" w:w="3312"/>
            <w:vAlign w:val="top"/>
          </w:tcPr>
          <w:p>
            <w:r>
              <w:rPr>
                <w:sz w:val="16"/>
              </w:rPr>
              <w:t>FR-08, SR-05</w:t>
            </w:r>
          </w:p>
        </w:tc>
        <w:tc>
          <w:tcPr>
            <w:tcW w:type="dxa" w:w="3312"/>
            <w:vAlign w:val="top"/>
          </w:tcPr>
          <w:p>
            <w:r>
              <w:rPr>
                <w:sz w:val="16"/>
              </w:rPr>
              <w:t>Agent orchestrator and tool registry</w:t>
            </w:r>
          </w:p>
        </w:tc>
        <w:tc>
          <w:tcPr>
            <w:tcW w:type="dxa" w:w="3312"/>
            <w:vAlign w:val="top"/>
          </w:tcPr>
          <w:p>
            <w:r>
              <w:rPr>
                <w:sz w:val="16"/>
              </w:rPr>
              <w:t>TC-08</w:t>
            </w:r>
          </w:p>
        </w:tc>
      </w:tr>
      <w:tr>
        <w:tc>
          <w:tcPr>
            <w:tcW w:type="dxa" w:w="3312"/>
            <w:vAlign w:val="top"/>
          </w:tcPr>
          <w:p>
            <w:r>
              <w:rPr>
                <w:sz w:val="16"/>
              </w:rPr>
              <w:t>FR-12, SR-01</w:t>
            </w:r>
          </w:p>
        </w:tc>
        <w:tc>
          <w:tcPr>
            <w:tcW w:type="dxa" w:w="3312"/>
            <w:vAlign w:val="top"/>
          </w:tcPr>
          <w:p>
            <w:r>
              <w:rPr>
                <w:sz w:val="16"/>
              </w:rPr>
              <w:t>Authorization/ownership checks</w:t>
            </w:r>
          </w:p>
        </w:tc>
        <w:tc>
          <w:tcPr>
            <w:tcW w:type="dxa" w:w="3312"/>
            <w:vAlign w:val="top"/>
          </w:tcPr>
          <w:p>
            <w:r>
              <w:rPr>
                <w:sz w:val="16"/>
              </w:rPr>
              <w:t>TC-09</w:t>
            </w:r>
          </w:p>
        </w:tc>
      </w:tr>
      <w:tr>
        <w:tc>
          <w:tcPr>
            <w:tcW w:type="dxa" w:w="3312"/>
            <w:vAlign w:val="top"/>
          </w:tcPr>
          <w:p>
            <w:r>
              <w:rPr>
                <w:sz w:val="16"/>
              </w:rPr>
              <w:t>FR-10</w:t>
            </w:r>
          </w:p>
        </w:tc>
        <w:tc>
          <w:tcPr>
            <w:tcW w:type="dxa" w:w="3312"/>
            <w:vAlign w:val="top"/>
          </w:tcPr>
          <w:p>
            <w:r>
              <w:rPr>
                <w:sz w:val="16"/>
              </w:rPr>
              <w:t>Bookmark service</w:t>
            </w:r>
          </w:p>
        </w:tc>
        <w:tc>
          <w:tcPr>
            <w:tcW w:type="dxa" w:w="3312"/>
            <w:vAlign w:val="top"/>
          </w:tcPr>
          <w:p>
            <w:r>
              <w:rPr>
                <w:sz w:val="16"/>
              </w:rPr>
              <w:t>TC-10</w:t>
            </w:r>
          </w:p>
        </w:tc>
      </w:tr>
      <w:tr>
        <w:tc>
          <w:tcPr>
            <w:tcW w:type="dxa" w:w="3312"/>
            <w:vAlign w:val="top"/>
          </w:tcPr>
          <w:p>
            <w:r>
              <w:rPr>
                <w:sz w:val="16"/>
              </w:rPr>
              <w:t>FR-11</w:t>
            </w:r>
          </w:p>
        </w:tc>
        <w:tc>
          <w:tcPr>
            <w:tcW w:type="dxa" w:w="3312"/>
            <w:vAlign w:val="top"/>
          </w:tcPr>
          <w:p>
            <w:r>
              <w:rPr>
                <w:sz w:val="16"/>
              </w:rPr>
              <w:t>Application tracking service</w:t>
            </w:r>
          </w:p>
        </w:tc>
        <w:tc>
          <w:tcPr>
            <w:tcW w:type="dxa" w:w="3312"/>
            <w:vAlign w:val="top"/>
          </w:tcPr>
          <w:p>
            <w:r>
              <w:rPr>
                <w:sz w:val="16"/>
              </w:rPr>
              <w:t>TC-11</w:t>
            </w:r>
          </w:p>
        </w:tc>
      </w:tr>
      <w:tr>
        <w:tc>
          <w:tcPr>
            <w:tcW w:type="dxa" w:w="3312"/>
            <w:vAlign w:val="top"/>
          </w:tcPr>
          <w:p>
            <w:r>
              <w:rPr>
                <w:sz w:val="16"/>
              </w:rPr>
              <w:t>FR-14, SR-04</w:t>
            </w:r>
          </w:p>
        </w:tc>
        <w:tc>
          <w:tcPr>
            <w:tcW w:type="dxa" w:w="3312"/>
            <w:vAlign w:val="top"/>
          </w:tcPr>
          <w:p>
            <w:r>
              <w:rPr>
                <w:sz w:val="16"/>
              </w:rPr>
              <w:t>Error handler and logging filters</w:t>
            </w:r>
          </w:p>
        </w:tc>
        <w:tc>
          <w:tcPr>
            <w:tcW w:type="dxa" w:w="3312"/>
            <w:vAlign w:val="top"/>
          </w:tcPr>
          <w:p>
            <w:r>
              <w:rPr>
                <w:sz w:val="16"/>
              </w:rPr>
              <w:t>TC-12</w:t>
            </w:r>
          </w:p>
        </w:tc>
      </w:tr>
      <w:tr>
        <w:tc>
          <w:tcPr>
            <w:tcW w:type="dxa" w:w="3312"/>
            <w:vAlign w:val="top"/>
          </w:tcPr>
          <w:p>
            <w:r>
              <w:rPr>
                <w:sz w:val="16"/>
              </w:rPr>
              <w:t>FR-13, SR-06</w:t>
            </w:r>
          </w:p>
        </w:tc>
        <w:tc>
          <w:tcPr>
            <w:tcW w:type="dxa" w:w="3312"/>
            <w:vAlign w:val="top"/>
          </w:tcPr>
          <w:p>
            <w:r>
              <w:rPr>
                <w:sz w:val="16"/>
              </w:rPr>
              <w:t>Consent gate / provider adapter</w:t>
            </w:r>
          </w:p>
        </w:tc>
        <w:tc>
          <w:tcPr>
            <w:tcW w:type="dxa" w:w="3312"/>
            <w:vAlign w:val="top"/>
          </w:tcPr>
          <w:p>
            <w:r>
              <w:rPr>
                <w:sz w:val="16"/>
              </w:rPr>
              <w:t>TC-13</w:t>
            </w:r>
          </w:p>
        </w:tc>
      </w:tr>
      <w:tr>
        <w:tc>
          <w:tcPr>
            <w:tcW w:type="dxa" w:w="3312"/>
            <w:vAlign w:val="top"/>
          </w:tcPr>
          <w:p>
            <w:r>
              <w:rPr>
                <w:sz w:val="16"/>
              </w:rPr>
              <w:t>NFR-03</w:t>
            </w:r>
          </w:p>
        </w:tc>
        <w:tc>
          <w:tcPr>
            <w:tcW w:type="dxa" w:w="3312"/>
            <w:vAlign w:val="top"/>
          </w:tcPr>
          <w:p>
            <w:r>
              <w:rPr>
                <w:sz w:val="16"/>
              </w:rPr>
              <w:t>Matching service and test harness</w:t>
            </w:r>
          </w:p>
        </w:tc>
        <w:tc>
          <w:tcPr>
            <w:tcW w:type="dxa" w:w="3312"/>
            <w:vAlign w:val="top"/>
          </w:tcPr>
          <w:p>
            <w:r>
              <w:rPr>
                <w:sz w:val="16"/>
              </w:rPr>
              <w:t>TC-14</w:t>
            </w:r>
          </w:p>
        </w:tc>
      </w:tr>
      <w:tr>
        <w:tc>
          <w:tcPr>
            <w:tcW w:type="dxa" w:w="3312"/>
            <w:vAlign w:val="top"/>
          </w:tcPr>
          <w:p>
            <w:r>
              <w:rPr>
                <w:sz w:val="16"/>
              </w:rPr>
              <w:t>NFR-04, NFR-08</w:t>
            </w:r>
          </w:p>
        </w:tc>
        <w:tc>
          <w:tcPr>
            <w:tcW w:type="dxa" w:w="3312"/>
            <w:vAlign w:val="top"/>
          </w:tcPr>
          <w:p>
            <w:r>
              <w:rPr>
                <w:sz w:val="16"/>
              </w:rPr>
              <w:t>User interface / usability checks</w:t>
            </w:r>
          </w:p>
        </w:tc>
        <w:tc>
          <w:tcPr>
            <w:tcW w:type="dxa" w:w="3312"/>
            <w:vAlign w:val="top"/>
          </w:tcPr>
          <w:p>
            <w:r>
              <w:rPr>
                <w:sz w:val="16"/>
              </w:rPr>
              <w:t>TC-15</w:t>
            </w:r>
          </w:p>
        </w:tc>
      </w:tr>
      <w:tr>
        <w:tc>
          <w:tcPr>
            <w:tcW w:type="dxa" w:w="3312"/>
            <w:vAlign w:val="top"/>
          </w:tcPr>
          <w:p>
            <w:r>
              <w:rPr>
                <w:sz w:val="16"/>
              </w:rPr>
              <w:t>SR-02</w:t>
            </w:r>
          </w:p>
        </w:tc>
        <w:tc>
          <w:tcPr>
            <w:tcW w:type="dxa" w:w="3312"/>
            <w:vAlign w:val="top"/>
          </w:tcPr>
          <w:p>
            <w:r>
              <w:rPr>
                <w:sz w:val="16"/>
              </w:rPr>
              <w:t>Credential storage implementation</w:t>
            </w:r>
          </w:p>
        </w:tc>
        <w:tc>
          <w:tcPr>
            <w:tcW w:type="dxa" w:w="3312"/>
            <w:vAlign w:val="top"/>
          </w:tcPr>
          <w:p>
            <w:r>
              <w:rPr>
                <w:sz w:val="16"/>
              </w:rPr>
              <w:t>TC-02 plus dedicated password-hash inspection</w:t>
            </w:r>
          </w:p>
        </w:tc>
      </w:tr>
      <w:tr>
        <w:tc>
          <w:tcPr>
            <w:tcW w:type="dxa" w:w="3312"/>
            <w:vAlign w:val="top"/>
          </w:tcPr>
          <w:p>
            <w:r>
              <w:rPr>
                <w:sz w:val="16"/>
              </w:rPr>
              <w:t>SR-07, SR-08</w:t>
            </w:r>
          </w:p>
        </w:tc>
        <w:tc>
          <w:tcPr>
            <w:tcW w:type="dxa" w:w="3312"/>
            <w:vAlign w:val="top"/>
          </w:tcPr>
          <w:p>
            <w:r>
              <w:rPr>
                <w:sz w:val="16"/>
              </w:rPr>
              <w:t>Deployment configuration and audit logger</w:t>
            </w:r>
          </w:p>
        </w:tc>
        <w:tc>
          <w:tcPr>
            <w:tcW w:type="dxa" w:w="3312"/>
            <w:vAlign w:val="top"/>
          </w:tcPr>
          <w:p>
            <w:r>
              <w:rPr>
                <w:sz w:val="16"/>
              </w:rPr>
              <w:t>Deployment security checklist; execute before release</w:t>
            </w:r>
          </w:p>
        </w:tc>
      </w:tr>
      <w:tr>
        <w:tc>
          <w:tcPr>
            <w:tcW w:type="dxa" w:w="3312"/>
            <w:vAlign w:val="top"/>
          </w:tcPr>
          <w:p>
            <w:r>
              <w:rPr>
                <w:sz w:val="16"/>
              </w:rPr>
              <w:t>NFR-02</w:t>
            </w:r>
          </w:p>
        </w:tc>
        <w:tc>
          <w:tcPr>
            <w:tcW w:type="dxa" w:w="3312"/>
            <w:vAlign w:val="top"/>
          </w:tcPr>
          <w:p>
            <w:r>
              <w:rPr>
                <w:sz w:val="16"/>
              </w:rPr>
              <w:t>Matching endpoint</w:t>
            </w:r>
          </w:p>
        </w:tc>
        <w:tc>
          <w:tcPr>
            <w:tcW w:type="dxa" w:w="3312"/>
            <w:vAlign w:val="top"/>
          </w:tcPr>
          <w:p>
            <w:r>
              <w:rPr>
                <w:sz w:val="16"/>
              </w:rPr>
              <w:t>Add a separate load measurement using fixed resume/job fixtures before release</w:t>
            </w:r>
          </w:p>
        </w:tc>
      </w:tr>
      <w:tr>
        <w:tc>
          <w:tcPr>
            <w:tcW w:type="dxa" w:w="3312"/>
            <w:vAlign w:val="top"/>
          </w:tcPr>
          <w:p>
            <w:r>
              <w:rPr>
                <w:sz w:val="16"/>
              </w:rPr>
              <w:t>NFR-05, NFR-06, NFR-07, NFR-09</w:t>
            </w:r>
          </w:p>
        </w:tc>
        <w:tc>
          <w:tcPr>
            <w:tcW w:type="dxa" w:w="3312"/>
            <w:vAlign w:val="top"/>
          </w:tcPr>
          <w:p>
            <w:r>
              <w:rPr>
                <w:sz w:val="16"/>
              </w:rPr>
              <w:t>Client compatibility, module boundaries, deletion flow, setup documentation</w:t>
            </w:r>
          </w:p>
        </w:tc>
        <w:tc>
          <w:tcPr>
            <w:tcW w:type="dxa" w:w="3312"/>
            <w:vAlign w:val="top"/>
          </w:tcPr>
          <w:p>
            <w:r>
              <w:rPr>
                <w:sz w:val="16"/>
              </w:rPr>
              <w:t>Regression/review checklist; add explicit cases where the final UI/deployment requires them</w:t>
            </w:r>
          </w:p>
        </w:tc>
      </w:tr>
      <w:tr>
        <w:tc>
          <w:tcPr>
            <w:tcW w:type="dxa" w:w="3312"/>
            <w:vAlign w:val="top"/>
          </w:tcPr>
          <w:p>
            <w:r>
              <w:rPr>
                <w:sz w:val="16"/>
              </w:rPr>
              <w:t>FR-15</w:t>
            </w:r>
          </w:p>
        </w:tc>
        <w:tc>
          <w:tcPr>
            <w:tcW w:type="dxa" w:w="3312"/>
            <w:vAlign w:val="top"/>
          </w:tcPr>
          <w:p>
            <w:r>
              <w:rPr>
                <w:sz w:val="16"/>
              </w:rPr>
              <w:t>Admin job import/update service (added in v1.1)</w:t>
            </w:r>
          </w:p>
        </w:tc>
        <w:tc>
          <w:tcPr>
            <w:tcW w:type="dxa" w:w="3312"/>
            <w:vAlign w:val="top"/>
          </w:tcPr>
          <w:p>
            <w:r>
              <w:rPr>
                <w:sz w:val="16"/>
              </w:rPr>
              <w:t>Import validation test (tests/test_admin.py)</w:t>
            </w:r>
          </w:p>
        </w:tc>
      </w:tr>
    </w:tbl>
    <w:p>
      <w:pPr>
        <w:pStyle w:val="Heading1"/>
      </w:pPr>
      <w:r>
        <w:t>8.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Risk</w:t>
            </w:r>
          </w:p>
        </w:tc>
        <w:tc>
          <w:tcPr>
            <w:tcW w:type="dxa" w:w="4968"/>
            <w:shd w:fill="1F4E79"/>
          </w:tcPr>
          <w:p>
            <w:r>
              <w:rPr>
                <w:b/>
                <w:color w:val="FFFFFF"/>
                <w:sz w:val="16"/>
              </w:rPr>
              <w:t>Mitigation</w:t>
            </w:r>
          </w:p>
        </w:tc>
      </w:tr>
      <w:tr>
        <w:tc>
          <w:tcPr>
            <w:tcW w:type="dxa" w:w="4968"/>
            <w:vAlign w:val="top"/>
          </w:tcPr>
          <w:p>
            <w:r>
              <w:rPr>
                <w:sz w:val="16"/>
              </w:rPr>
              <w:t>Resume parser misses or misreads fields</w:t>
            </w:r>
          </w:p>
        </w:tc>
        <w:tc>
          <w:tcPr>
            <w:tcW w:type="dxa" w:w="4968"/>
            <w:vAlign w:val="top"/>
          </w:tcPr>
          <w:p>
            <w:r>
              <w:rPr>
                <w:sz w:val="16"/>
              </w:rPr>
              <w:t>Show extracted fields for review; use fixtures; label uncertainty; avoid invented fields.</w:t>
            </w:r>
          </w:p>
        </w:tc>
      </w:tr>
      <w:tr>
        <w:tc>
          <w:tcPr>
            <w:tcW w:type="dxa" w:w="4968"/>
            <w:vAlign w:val="top"/>
          </w:tcPr>
          <w:p>
            <w:r>
              <w:rPr>
                <w:sz w:val="16"/>
              </w:rPr>
              <w:t>LLM/provider unavailable</w:t>
            </w:r>
          </w:p>
        </w:tc>
        <w:tc>
          <w:tcPr>
            <w:tcW w:type="dxa" w:w="4968"/>
            <w:vAlign w:val="top"/>
          </w:tcPr>
          <w:p>
            <w:r>
              <w:rPr>
                <w:sz w:val="16"/>
              </w:rPr>
              <w:t>Keep core matching local and deterministic; use timeouts and safe fallback.</w:t>
            </w:r>
          </w:p>
        </w:tc>
      </w:tr>
      <w:tr>
        <w:tc>
          <w:tcPr>
            <w:tcW w:type="dxa" w:w="4968"/>
            <w:vAlign w:val="top"/>
          </w:tcPr>
          <w:p>
            <w:r>
              <w:rPr>
                <w:sz w:val="16"/>
              </w:rPr>
              <w:t>Agent prompt injection</w:t>
            </w:r>
          </w:p>
        </w:tc>
        <w:tc>
          <w:tcPr>
            <w:tcW w:type="dxa" w:w="4968"/>
            <w:vAlign w:val="top"/>
          </w:tcPr>
          <w:p>
            <w:r>
              <w:rPr>
                <w:sz w:val="16"/>
              </w:rPr>
              <w:t>Treat documents as untrusted; restrict tools, validate arguments, and keep authorization outside the LLM.</w:t>
            </w:r>
          </w:p>
        </w:tc>
      </w:tr>
      <w:tr>
        <w:tc>
          <w:tcPr>
            <w:tcW w:type="dxa" w:w="4968"/>
            <w:vAlign w:val="top"/>
          </w:tcPr>
          <w:p>
            <w:r>
              <w:rPr>
                <w:sz w:val="16"/>
              </w:rPr>
              <w:t>Small dataset makes recommendations weak</w:t>
            </w:r>
          </w:p>
        </w:tc>
        <w:tc>
          <w:tcPr>
            <w:tcW w:type="dxa" w:w="4968"/>
            <w:vAlign w:val="top"/>
          </w:tcPr>
          <w:p>
            <w:r>
              <w:rPr>
                <w:sz w:val="16"/>
              </w:rPr>
              <w:t>State dataset limits; curate varied roles; evaluate with known fixtures.</w:t>
            </w:r>
          </w:p>
        </w:tc>
      </w:tr>
      <w:tr>
        <w:tc>
          <w:tcPr>
            <w:tcW w:type="dxa" w:w="4968"/>
            <w:vAlign w:val="top"/>
          </w:tcPr>
          <w:p>
            <w:r>
              <w:rPr>
                <w:sz w:val="16"/>
              </w:rPr>
              <w:t>Performance targets not reproducible</w:t>
            </w:r>
          </w:p>
        </w:tc>
        <w:tc>
          <w:tcPr>
            <w:tcW w:type="dxa" w:w="4968"/>
            <w:vAlign w:val="top"/>
          </w:tcPr>
          <w:p>
            <w:r>
              <w:rPr>
                <w:sz w:val="16"/>
              </w:rPr>
              <w:t>Pin dataset size and environment; record methodology and p95 values.</w:t>
            </w:r>
          </w:p>
        </w:tc>
      </w:tr>
      <w:tr>
        <w:tc>
          <w:tcPr>
            <w:tcW w:type="dxa" w:w="4968"/>
            <w:vAlign w:val="top"/>
          </w:tcPr>
          <w:p>
            <w:r>
              <w:rPr>
                <w:sz w:val="16"/>
              </w:rPr>
              <w:t>Sensitive data leakage</w:t>
            </w:r>
          </w:p>
        </w:tc>
        <w:tc>
          <w:tcPr>
            <w:tcW w:type="dxa" w:w="4968"/>
            <w:vAlign w:val="top"/>
          </w:tcPr>
          <w:p>
            <w:r>
              <w:rPr>
                <w:sz w:val="16"/>
              </w:rPr>
              <w:t>Use synthetic fixtures; redact logs; verify ownership and consent boundaries.</w:t>
            </w:r>
          </w:p>
        </w:tc>
      </w:tr>
    </w:tbl>
    <w:p>
      <w:pPr>
        <w:pStyle w:val="Heading1"/>
      </w:pPr>
      <w:r>
        <w:t>9. Approval</w:t>
      </w:r>
    </w:p>
    <w:p>
      <w:r>
        <w:t>Reviewers should approve the scope, test targets, and course-specific template mapping before execution. Fill in names, dates, and signatures required by the course.</w:t>
      </w:r>
    </w:p>
    <w:p>
      <w:pPr>
        <w:jc w:val="center"/>
      </w:pPr>
      <w:r>
        <w:rPr>
          <w:b/>
          <w:color w:val="1F4E79"/>
          <w:sz w:val="24"/>
        </w:rPr>
        <w:t>Team: the no name group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the no name group | Software Engineering Mini-Project</dc:subject>
  <dc:creator>Anvith Vegi (PES1UG24AM047); Ankitha Revadala (PES1UG24AM044); Anirudh N (PES1UG24AM041)</dc:creator>
  <cp:keywords/>
  <dc:description>generated by python-docx</dc:description>
  <cp:lastModifiedBy/>
  <cp:revision>1</cp:revision>
  <dcterms:created xsi:type="dcterms:W3CDTF">2013-12-23T23:15:00Z</dcterms:created>
  <dcterms:modified xsi:type="dcterms:W3CDTF">2013-12-23T23:15:00Z</dcterms:modified>
  <cp:category/>
</cp:coreProperties>
</file>