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ulkasmkou3"/>
        <w:tblW w:w="1090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83"/>
        <w:gridCol w:w="4418"/>
        <w:gridCol w:w="1309"/>
        <w:gridCol w:w="1330"/>
        <w:gridCol w:w="2263"/>
      </w:tblGrid>
      <w:tr>
        <w:trPr>
          <w:trHeight w:val="300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0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eastAsia="Times New Roman" w:cs="Arial"/>
                <w:b w:val="false"/>
                <w:i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 w:val="false"/>
                <w:bCs/>
                <w:i w:val="false"/>
                <w:iCs/>
                <w:kern w:val="0"/>
                <w:sz w:val="20"/>
                <w:szCs w:val="24"/>
                <w:lang w:val="cs-CZ" w:eastAsia="cs-CZ" w:bidi="ar-SA"/>
              </w:rPr>
              <w:t>Požadavky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nil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 w:val="false"/>
                <w:bCs/>
                <w:kern w:val="0"/>
                <w:sz w:val="20"/>
                <w:szCs w:val="24"/>
                <w:lang w:val="cs-CZ" w:eastAsia="cs-CZ" w:bidi="ar-SA"/>
              </w:rPr>
              <w:t xml:space="preserve">Splněno </w:t>
              <w:br/>
              <w:t>(hodnota od 0 do 1 odpovídá 0 až 100%)</w:t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nil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 w:val="false"/>
                <w:bCs/>
                <w:kern w:val="0"/>
                <w:sz w:val="20"/>
                <w:szCs w:val="24"/>
                <w:lang w:val="cs-CZ" w:eastAsia="cs-CZ" w:bidi="ar-SA"/>
              </w:rPr>
              <w:t>Řešení ovládání (klávesa nebo GUI)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nil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 w:val="false"/>
                <w:bCs/>
                <w:kern w:val="0"/>
                <w:sz w:val="20"/>
                <w:szCs w:val="24"/>
                <w:lang w:val="cs-CZ" w:eastAsia="cs-CZ" w:bidi="ar-SA"/>
              </w:rPr>
              <w:t>Případné komentáře k řešení požadavku</w:t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1" w:type="dxa"/>
            <w:gridSpan w:val="2"/>
            <w:tcBorders>
              <w:top w:val="single" w:sz="4" w:space="0" w:color="000000"/>
              <w:start w:val="single" w:sz="4" w:space="0" w:color="000000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eastAsia="Times New Roman" w:cs="Arial"/>
                <w:i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i w:val="false"/>
                <w:iCs/>
                <w:kern w:val="0"/>
                <w:sz w:val="20"/>
                <w:szCs w:val="24"/>
                <w:lang w:val="cs-CZ" w:eastAsia="cs-CZ" w:bidi="ar-SA"/>
              </w:rPr>
              <w:t>Vytvořte program pro zobrazení jednoduché grafické scény (program je funkční a negeneruje žádné výjimky)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val="cs-CZ" w:eastAsia="zh-TW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 xml:space="preserve">1 </w:t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highlight w:val="none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eastAsia="Times New Roman" w:cs="Arial"/>
                <w:i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i w:val="false"/>
                <w:iCs/>
                <w:kern w:val="0"/>
                <w:sz w:val="20"/>
                <w:szCs w:val="24"/>
                <w:lang w:val="cs-CZ" w:eastAsia="cs-CZ" w:bidi="ar-SA"/>
              </w:rPr>
              <w:t>Reprezentace gridu</w:t>
            </w:r>
          </w:p>
        </w:tc>
        <w:tc>
          <w:tcPr>
            <w:tcW w:w="4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Cs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20"/>
                <w:szCs w:val="24"/>
                <w:lang w:val="cs-CZ" w:eastAsia="cs-CZ" w:bidi="ar-SA"/>
              </w:rPr>
              <w:t>Seznam trojúhelníků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kern w:val="0"/>
                <w:sz w:val="20"/>
                <w:szCs w:val="24"/>
                <w:highlight w:val="none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highlight w:val="none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L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continue"/>
            <w:tcBorders>
              <w:top w:val="nil"/>
              <w:start w:val="single" w:sz="4" w:space="0" w:color="000000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eastAsia="Times New Roman" w:cs="Arial"/>
                <w:i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i w:val="false"/>
                <w:sz w:val="20"/>
                <w:szCs w:val="24"/>
                <w:lang w:eastAsia="cs-CZ"/>
              </w:rPr>
            </w:r>
          </w:p>
        </w:tc>
        <w:tc>
          <w:tcPr>
            <w:tcW w:w="4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bCs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20"/>
                <w:szCs w:val="24"/>
                <w:lang w:val="cs-CZ" w:eastAsia="cs-CZ" w:bidi="ar-SA"/>
              </w:rPr>
              <w:t>Pás trojúhelníků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kern w:val="0"/>
                <w:sz w:val="20"/>
                <w:szCs w:val="24"/>
                <w:highlight w:val="none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0,8</w:t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highlight w:val="none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K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continue"/>
            <w:tcBorders>
              <w:top w:val="nil"/>
              <w:start w:val="single" w:sz="4" w:space="0" w:color="000000"/>
              <w:bottom w:val="single" w:sz="4" w:space="0" w:color="000000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eastAsia="Times New Roman" w:cs="Arial"/>
                <w:i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i w:val="false"/>
                <w:sz w:val="20"/>
                <w:szCs w:val="24"/>
                <w:lang w:eastAsia="cs-CZ"/>
              </w:rPr>
            </w:r>
          </w:p>
        </w:tc>
        <w:tc>
          <w:tcPr>
            <w:tcW w:w="4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Cs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20"/>
                <w:szCs w:val="24"/>
                <w:lang w:val="cs-CZ" w:eastAsia="cs-CZ" w:bidi="ar-SA"/>
              </w:rPr>
              <w:t>Zobrazení ve formě bodů, hran i ploch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kern w:val="0"/>
                <w:sz w:val="20"/>
                <w:szCs w:val="24"/>
                <w:highlight w:val="none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highlight w:val="none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B, N, M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eastAsia="Times New Roman" w:cs="Arial"/>
                <w:i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i w:val="false"/>
                <w:iCs/>
                <w:kern w:val="0"/>
                <w:sz w:val="20"/>
                <w:szCs w:val="24"/>
                <w:lang w:val="cs-CZ" w:eastAsia="cs-CZ" w:bidi="ar-SA"/>
              </w:rPr>
              <w:t>Tvorba scény - 6 těles definovaných funkcí</w:t>
            </w:r>
          </w:p>
        </w:tc>
        <w:tc>
          <w:tcPr>
            <w:tcW w:w="4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Kartézské souřadnice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kern w:val="0"/>
                <w:sz w:val="20"/>
                <w:szCs w:val="24"/>
                <w:highlight w:val="none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highlight w:val="none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1 (+), 2 (ě)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continue"/>
            <w:tcBorders>
              <w:top w:val="nil"/>
              <w:start w:val="single" w:sz="4" w:space="0" w:color="000000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eastAsia="Times New Roman" w:cs="Arial"/>
                <w:i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i w:val="false"/>
                <w:sz w:val="20"/>
                <w:szCs w:val="24"/>
                <w:lang w:eastAsia="cs-CZ"/>
              </w:rPr>
            </w:r>
          </w:p>
        </w:tc>
        <w:tc>
          <w:tcPr>
            <w:tcW w:w="4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Sférické souřadnice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kern w:val="0"/>
                <w:sz w:val="20"/>
                <w:szCs w:val="24"/>
                <w:highlight w:val="none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highlight w:val="none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3 (š), 4 (č)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continue"/>
            <w:tcBorders>
              <w:top w:val="nil"/>
              <w:start w:val="single" w:sz="4" w:space="0" w:color="000000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eastAsia="Times New Roman" w:cs="Arial"/>
                <w:i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i w:val="false"/>
                <w:sz w:val="20"/>
                <w:szCs w:val="24"/>
                <w:lang w:eastAsia="cs-CZ"/>
              </w:rPr>
            </w:r>
          </w:p>
        </w:tc>
        <w:tc>
          <w:tcPr>
            <w:tcW w:w="4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Cylindrické souřadnice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kern w:val="0"/>
                <w:sz w:val="20"/>
                <w:szCs w:val="24"/>
                <w:highlight w:val="none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highlight w:val="none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2 (ě), 5 (ř)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continue"/>
            <w:tcBorders>
              <w:top w:val="nil"/>
              <w:start w:val="single" w:sz="4" w:space="0" w:color="000000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eastAsia="Times New Roman" w:cs="Arial"/>
                <w:i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i w:val="false"/>
                <w:sz w:val="20"/>
                <w:szCs w:val="24"/>
                <w:lang w:eastAsia="cs-CZ"/>
              </w:rPr>
            </w:r>
          </w:p>
        </w:tc>
        <w:tc>
          <w:tcPr>
            <w:tcW w:w="4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Modifikace tvaru tělesa v čase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kern w:val="0"/>
                <w:sz w:val="20"/>
                <w:szCs w:val="24"/>
                <w:highlight w:val="none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highlight w:val="none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2 (ě), 4(č)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continue"/>
            <w:tcBorders>
              <w:top w:val="nil"/>
              <w:start w:val="single" w:sz="4" w:space="0" w:color="000000"/>
              <w:bottom w:val="single" w:sz="4" w:space="0" w:color="000000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eastAsia="Times New Roman" w:cs="Arial"/>
                <w:i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i w:val="false"/>
                <w:sz w:val="20"/>
                <w:szCs w:val="24"/>
                <w:lang w:eastAsia="cs-CZ"/>
              </w:rPr>
            </w:r>
          </w:p>
        </w:tc>
        <w:tc>
          <w:tcPr>
            <w:tcW w:w="4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Dvě tělesa zobrazená zároveň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kern w:val="0"/>
                <w:sz w:val="20"/>
                <w:szCs w:val="24"/>
                <w:highlight w:val="none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highlight w:val="none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2 (ě)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eastAsia="Times New Roman" w:cs="Arial"/>
                <w:i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i w:val="false"/>
                <w:iCs/>
                <w:kern w:val="0"/>
                <w:sz w:val="20"/>
                <w:szCs w:val="24"/>
                <w:lang w:val="cs-CZ" w:eastAsia="cs-CZ" w:bidi="ar-SA"/>
              </w:rPr>
              <w:t>Transformace</w:t>
            </w:r>
          </w:p>
        </w:tc>
        <w:tc>
          <w:tcPr>
            <w:tcW w:w="4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Modelovací: např. translace, rotace, měřítko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←</w:t>
            </w: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 xml:space="preserve">, → 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 xml:space="preserve">Pro objekty 1, 3, 4, 5 </w:t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continue"/>
            <w:tcBorders>
              <w:top w:val="nil"/>
              <w:start w:val="single" w:sz="4" w:space="0" w:color="000000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Times New Roman" w:hAnsi="Times New Roman" w:eastAsia="Times New Roman" w:cs="Times New Roman"/>
                <w:i w:val="false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i w:val="false"/>
                <w:sz w:val="20"/>
                <w:szCs w:val="20"/>
                <w:lang w:eastAsia="cs-CZ"/>
              </w:rPr>
            </w:r>
          </w:p>
        </w:tc>
        <w:tc>
          <w:tcPr>
            <w:tcW w:w="4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Kamera: rozhlížení myší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Při držení levého tlačítka</w:t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continue"/>
            <w:tcBorders>
              <w:top w:val="nil"/>
              <w:start w:val="single" w:sz="4" w:space="0" w:color="000000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Times New Roman" w:hAnsi="Times New Roman" w:eastAsia="Times New Roman" w:cs="Times New Roman"/>
                <w:i w:val="false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i w:val="false"/>
                <w:sz w:val="20"/>
                <w:szCs w:val="20"/>
                <w:lang w:eastAsia="cs-CZ"/>
              </w:rPr>
            </w:r>
          </w:p>
        </w:tc>
        <w:tc>
          <w:tcPr>
            <w:tcW w:w="4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 xml:space="preserve">Kamera: pohyb pozorovatele WSAD 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0,8</w:t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W, A, S, D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Občas funguje divně</w:t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continue"/>
            <w:tcBorders>
              <w:top w:val="nil"/>
              <w:start w:val="single" w:sz="4" w:space="0" w:color="000000"/>
              <w:bottom w:val="single" w:sz="4" w:space="0" w:color="000000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eastAsia="Times New Roman" w:cs="Arial"/>
                <w:i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i w:val="false"/>
                <w:sz w:val="20"/>
                <w:szCs w:val="24"/>
                <w:lang w:eastAsia="cs-CZ"/>
              </w:rPr>
            </w:r>
          </w:p>
        </w:tc>
        <w:tc>
          <w:tcPr>
            <w:tcW w:w="4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Perspektivní a ortogonální projekce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I, U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eastAsia="Times New Roman" w:cs="Arial"/>
                <w:i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i w:val="false"/>
                <w:iCs/>
                <w:kern w:val="0"/>
                <w:sz w:val="20"/>
                <w:szCs w:val="24"/>
                <w:lang w:val="cs-CZ" w:eastAsia="cs-CZ" w:bidi="ar-SA"/>
              </w:rPr>
              <w:t>Normála</w:t>
            </w:r>
          </w:p>
        </w:tc>
        <w:tc>
          <w:tcPr>
            <w:tcW w:w="4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Výpočet derivací nebo diferencí (do poznámky uveďte, který způsob používáte)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diference</w:t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continue"/>
            <w:tcBorders>
              <w:top w:val="nil"/>
              <w:start w:val="single" w:sz="4" w:space="0" w:color="000000"/>
              <w:bottom w:val="single" w:sz="4" w:space="0" w:color="000000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i/>
                <w:sz w:val="20"/>
                <w:szCs w:val="24"/>
                <w:lang w:eastAsia="cs-CZ"/>
              </w:rPr>
            </w:r>
          </w:p>
        </w:tc>
        <w:tc>
          <w:tcPr>
            <w:tcW w:w="4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Transformace normály při modelování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inverse-transpose modelu</w:t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eastAsia="Times New Roman" w:cs="Arial"/>
                <w:i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i w:val="false"/>
                <w:iCs/>
                <w:kern w:val="0"/>
                <w:sz w:val="20"/>
                <w:szCs w:val="24"/>
                <w:lang w:val="cs-CZ" w:eastAsia="cs-CZ" w:bidi="ar-SA"/>
              </w:rPr>
              <w:t>Zobrazení barvy na povrchu jednotlivých těles</w:t>
            </w:r>
          </w:p>
        </w:tc>
        <w:tc>
          <w:tcPr>
            <w:tcW w:w="4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Pozice xyz – v souřadnicích pozorovatele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C (mode 0)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Při pohybu kamery – změna barvy</w:t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continue"/>
            <w:tcBorders>
              <w:top w:val="nil"/>
              <w:start w:val="single" w:sz="4" w:space="0" w:color="000000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Times New Roman" w:hAnsi="Times New Roman" w:eastAsia="Times New Roman" w:cs="Times New Roman"/>
                <w:i w:val="false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i w:val="false"/>
                <w:sz w:val="20"/>
                <w:szCs w:val="20"/>
                <w:lang w:eastAsia="cs-CZ"/>
              </w:rPr>
            </w:r>
          </w:p>
        </w:tc>
        <w:tc>
          <w:tcPr>
            <w:tcW w:w="4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Hloubka – informace v depth bufferu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C (mode 1)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Objekty dál jsou světlejší než objekty blíž</w:t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continue"/>
            <w:tcBorders>
              <w:top w:val="nil"/>
              <w:start w:val="single" w:sz="4" w:space="0" w:color="000000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Times New Roman" w:hAnsi="Times New Roman" w:eastAsia="Times New Roman" w:cs="Times New Roman"/>
                <w:i w:val="false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i w:val="false"/>
                <w:sz w:val="20"/>
                <w:szCs w:val="20"/>
                <w:lang w:eastAsia="cs-CZ"/>
              </w:rPr>
            </w:r>
          </w:p>
        </w:tc>
        <w:tc>
          <w:tcPr>
            <w:tcW w:w="4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Normála xyz – v soustavě pozorovatele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C (mode 2)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continue"/>
            <w:tcBorders>
              <w:top w:val="nil"/>
              <w:start w:val="single" w:sz="4" w:space="0" w:color="000000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eastAsia="Times New Roman" w:cs="Arial"/>
                <w:i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i w:val="false"/>
                <w:sz w:val="20"/>
                <w:szCs w:val="24"/>
                <w:lang w:eastAsia="cs-CZ"/>
              </w:rPr>
            </w:r>
          </w:p>
        </w:tc>
        <w:tc>
          <w:tcPr>
            <w:tcW w:w="4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Mapovaná textura rgba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C (mode 3)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 xml:space="preserve">Mapuji texturu </w:t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continue"/>
            <w:tcBorders>
              <w:top w:val="nil"/>
              <w:start w:val="single" w:sz="4" w:space="0" w:color="000000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Times New Roman" w:hAnsi="Times New Roman" w:eastAsia="Times New Roman" w:cs="Times New Roman"/>
                <w:i w:val="false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i w:val="false"/>
                <w:sz w:val="20"/>
                <w:szCs w:val="20"/>
                <w:lang w:eastAsia="cs-CZ"/>
              </w:rPr>
            </w:r>
          </w:p>
        </w:tc>
        <w:tc>
          <w:tcPr>
            <w:tcW w:w="4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Souřadnice do textury uv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C (mode 3)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 xml:space="preserve">Zobrazuji souřadnice jako barvy </w:t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continue"/>
            <w:tcBorders>
              <w:top w:val="nil"/>
              <w:start w:val="single" w:sz="4" w:space="0" w:color="000000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eastAsia="Times New Roman" w:cs="Arial"/>
                <w:i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i w:val="false"/>
                <w:sz w:val="20"/>
                <w:szCs w:val="24"/>
                <w:lang w:eastAsia="cs-CZ"/>
              </w:rPr>
            </w:r>
          </w:p>
        </w:tc>
        <w:tc>
          <w:tcPr>
            <w:tcW w:w="4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Osvětlení bez textur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C (mode 4)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continue"/>
            <w:tcBorders>
              <w:top w:val="nil"/>
              <w:start w:val="single" w:sz="4" w:space="0" w:color="000000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eastAsia="Times New Roman" w:cs="Arial"/>
                <w:i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i w:val="false"/>
                <w:sz w:val="20"/>
                <w:szCs w:val="24"/>
                <w:lang w:eastAsia="cs-CZ"/>
              </w:rPr>
            </w:r>
          </w:p>
        </w:tc>
        <w:tc>
          <w:tcPr>
            <w:tcW w:w="4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Kompletní osvětlení s texturou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C (mode 5)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continue"/>
            <w:tcBorders>
              <w:top w:val="nil"/>
              <w:start w:val="single" w:sz="4" w:space="0" w:color="000000"/>
              <w:bottom w:val="single" w:sz="4" w:space="0" w:color="000000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eastAsia="Times New Roman" w:cs="Arial"/>
                <w:i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i w:val="false"/>
                <w:sz w:val="20"/>
                <w:szCs w:val="24"/>
                <w:lang w:eastAsia="cs-CZ"/>
              </w:rPr>
            </w:r>
          </w:p>
        </w:tc>
        <w:tc>
          <w:tcPr>
            <w:tcW w:w="4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Vzdálenost od zdroje světla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C (mode 6)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eastAsia="Times New Roman" w:cs="Arial"/>
                <w:i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i w:val="false"/>
                <w:iCs/>
                <w:kern w:val="0"/>
                <w:sz w:val="20"/>
                <w:szCs w:val="24"/>
                <w:lang w:val="cs-CZ" w:eastAsia="cs-CZ" w:bidi="ar-SA"/>
              </w:rPr>
              <w:t>Osvětlení</w:t>
            </w:r>
          </w:p>
        </w:tc>
        <w:tc>
          <w:tcPr>
            <w:tcW w:w="4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Bodový zdroj světla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  <w:t>0,8</w:t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  <w:t>P (mode 2)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  <w:t>H (mode 0)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continue"/>
            <w:tcBorders>
              <w:top w:val="nil"/>
              <w:start w:val="single" w:sz="4" w:space="0" w:color="000000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i/>
                <w:sz w:val="20"/>
                <w:szCs w:val="24"/>
                <w:lang w:eastAsia="cs-CZ"/>
              </w:rPr>
            </w:r>
          </w:p>
        </w:tc>
        <w:tc>
          <w:tcPr>
            <w:tcW w:w="4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Difuzní složka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  <w:t>0,8</w:t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  <w:t>H (mode 1)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continue"/>
            <w:tcBorders>
              <w:top w:val="nil"/>
              <w:start w:val="single" w:sz="4" w:space="0" w:color="000000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i/>
                <w:sz w:val="20"/>
                <w:szCs w:val="24"/>
                <w:lang w:eastAsia="cs-CZ"/>
              </w:rPr>
            </w:r>
          </w:p>
        </w:tc>
        <w:tc>
          <w:tcPr>
            <w:tcW w:w="4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Ambientní složka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  <w:t>0,8</w:t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  <w:t>H (mode 2)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continue"/>
            <w:tcBorders>
              <w:top w:val="nil"/>
              <w:start w:val="single" w:sz="4" w:space="0" w:color="000000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i/>
                <w:sz w:val="20"/>
                <w:szCs w:val="24"/>
                <w:lang w:eastAsia="cs-CZ"/>
              </w:rPr>
            </w:r>
          </w:p>
        </w:tc>
        <w:tc>
          <w:tcPr>
            <w:tcW w:w="4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Zrcadlová složka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  <w:t>0,8</w:t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  <w:t>H (mode 3)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continue"/>
            <w:tcBorders>
              <w:top w:val="nil"/>
              <w:start w:val="single" w:sz="4" w:space="0" w:color="000000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i/>
                <w:sz w:val="20"/>
                <w:szCs w:val="24"/>
                <w:lang w:eastAsia="cs-CZ"/>
              </w:rPr>
            </w:r>
          </w:p>
        </w:tc>
        <w:tc>
          <w:tcPr>
            <w:tcW w:w="4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Útlum prostředí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  <w:t>0,8</w:t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  <w:t>H (mode 4)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continue"/>
            <w:tcBorders>
              <w:top w:val="nil"/>
              <w:start w:val="single" w:sz="4" w:space="0" w:color="000000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eastAsia="Times New Roman" w:cs="Arial"/>
                <w:i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i w:val="false"/>
                <w:sz w:val="20"/>
                <w:szCs w:val="24"/>
                <w:lang w:eastAsia="cs-CZ"/>
              </w:rPr>
            </w:r>
          </w:p>
        </w:tc>
        <w:tc>
          <w:tcPr>
            <w:tcW w:w="4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Znázornění polohy zdroje světla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  <w:t>Ve výchozím stavu je za pozorovatelem</w:t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continue"/>
            <w:tcBorders>
              <w:top w:val="nil"/>
              <w:start w:val="single" w:sz="4" w:space="0" w:color="000000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eastAsia="Times New Roman" w:cs="Arial"/>
                <w:i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i w:val="false"/>
                <w:sz w:val="20"/>
                <w:szCs w:val="24"/>
                <w:lang w:eastAsia="cs-CZ"/>
              </w:rPr>
            </w:r>
          </w:p>
        </w:tc>
        <w:tc>
          <w:tcPr>
            <w:tcW w:w="4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Modifikace polohy zdroje světla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  <w:t>4,6,8,2,</w:t>
            </w: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  <w:t>5,0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continue"/>
            <w:tcBorders>
              <w:top w:val="nil"/>
              <w:start w:val="single" w:sz="4" w:space="0" w:color="000000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eastAsia="Times New Roman" w:cs="Arial"/>
                <w:i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i w:val="false"/>
                <w:sz w:val="20"/>
                <w:szCs w:val="24"/>
                <w:lang w:eastAsia="cs-CZ"/>
              </w:rPr>
            </w:r>
          </w:p>
        </w:tc>
        <w:tc>
          <w:tcPr>
            <w:tcW w:w="4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tabs>
                <w:tab w:val="clear" w:pos="708"/>
                <w:tab w:val="left" w:pos="3143" w:leader="none"/>
              </w:tabs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Reflektorový zdroj světla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  <w:t>H (mode 5)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continue"/>
            <w:tcBorders>
              <w:top w:val="nil"/>
              <w:start w:val="single" w:sz="4" w:space="0" w:color="000000"/>
              <w:bottom w:val="single" w:sz="4" w:space="0" w:color="000000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eastAsia="Times New Roman" w:cs="Arial"/>
                <w:i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i w:val="false"/>
                <w:sz w:val="20"/>
                <w:szCs w:val="24"/>
                <w:lang w:eastAsia="cs-CZ"/>
              </w:rPr>
            </w:r>
          </w:p>
        </w:tc>
        <w:tc>
          <w:tcPr>
            <w:tcW w:w="4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08"/>
                <w:tab w:val="left" w:pos="3143" w:leader="none"/>
              </w:tabs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Řízení směru a úhlu reflektoru</w:t>
              <w:tab/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  <w:t>7,9,1,3, Z(Y),R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eastAsia="Times New Roman" w:cs="Arial"/>
                <w:i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i w:val="false"/>
                <w:iCs/>
                <w:kern w:val="0"/>
                <w:sz w:val="20"/>
                <w:szCs w:val="24"/>
                <w:lang w:val="cs-CZ" w:eastAsia="cs-CZ" w:bidi="ar-SA"/>
              </w:rPr>
              <w:t>Ambient occlusion (SSAO)</w:t>
            </w:r>
          </w:p>
        </w:tc>
        <w:tc>
          <w:tcPr>
            <w:tcW w:w="4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První průchod – deffered shading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  <w:t>P (mode 3)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continue"/>
            <w:tcBorders>
              <w:top w:val="nil"/>
              <w:start w:val="single" w:sz="4" w:space="0" w:color="000000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eastAsia="Times New Roman" w:cs="Arial"/>
                <w:i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i w:val="false"/>
                <w:sz w:val="20"/>
                <w:szCs w:val="24"/>
                <w:lang w:eastAsia="cs-CZ"/>
              </w:rPr>
            </w:r>
          </w:p>
        </w:tc>
        <w:tc>
          <w:tcPr>
            <w:tcW w:w="4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Druhý průchod – výpočet SSAO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continue"/>
            <w:tcBorders>
              <w:top w:val="nil"/>
              <w:start w:val="single" w:sz="4" w:space="0" w:color="000000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eastAsia="Times New Roman" w:cs="Arial"/>
                <w:i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i w:val="false"/>
                <w:sz w:val="20"/>
                <w:szCs w:val="24"/>
                <w:lang w:eastAsia="cs-CZ"/>
              </w:rPr>
            </w:r>
          </w:p>
        </w:tc>
        <w:tc>
          <w:tcPr>
            <w:tcW w:w="4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 xml:space="preserve">Třetí průchod – rozmazání 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continue"/>
            <w:tcBorders>
              <w:top w:val="nil"/>
              <w:start w:val="single" w:sz="4" w:space="0" w:color="000000"/>
              <w:bottom w:val="single" w:sz="4" w:space="0" w:color="000000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eastAsia="Times New Roman" w:cs="Arial"/>
                <w:i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i w:val="false"/>
                <w:sz w:val="20"/>
                <w:szCs w:val="24"/>
                <w:lang w:eastAsia="cs-CZ"/>
              </w:rPr>
            </w:r>
          </w:p>
        </w:tc>
        <w:tc>
          <w:tcPr>
            <w:tcW w:w="4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Čtvrtý průchod - finální kompletace obrazu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eastAsia="Times New Roman" w:cs="Arial"/>
                <w:i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i w:val="false"/>
                <w:iCs/>
                <w:kern w:val="0"/>
                <w:sz w:val="20"/>
                <w:szCs w:val="24"/>
                <w:lang w:val="cs-CZ" w:eastAsia="cs-CZ" w:bidi="ar-SA"/>
              </w:rPr>
              <w:t>Verzování pomocí gitu</w:t>
            </w:r>
          </w:p>
        </w:tc>
        <w:tc>
          <w:tcPr>
            <w:tcW w:w="4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bCs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20"/>
                <w:szCs w:val="24"/>
                <w:lang w:val="cs-CZ" w:eastAsia="cs-CZ" w:bidi="ar-SA"/>
              </w:rPr>
              <w:t>Vytvoření privátního repositáře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continue"/>
            <w:tcBorders>
              <w:top w:val="nil"/>
              <w:start w:val="single" w:sz="4" w:space="0" w:color="000000"/>
              <w:bottom w:val="single" w:sz="4" w:space="0" w:color="000000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eastAsia="Times New Roman" w:cs="Arial"/>
                <w:i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i w:val="false"/>
                <w:sz w:val="20"/>
                <w:szCs w:val="24"/>
                <w:lang w:eastAsia="cs-CZ"/>
              </w:rPr>
            </w:r>
          </w:p>
        </w:tc>
        <w:tc>
          <w:tcPr>
            <w:tcW w:w="4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Cs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20"/>
                <w:szCs w:val="24"/>
                <w:lang w:val="cs-CZ" w:eastAsia="cs-CZ" w:bidi="ar-SA"/>
              </w:rPr>
              <w:t>Pravidelné komentované commity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0,5</w:t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 xml:space="preserve">Nekomentuji </w:t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eastAsia="Times New Roman" w:cs="Arial"/>
                <w:i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i w:val="false"/>
                <w:iCs/>
                <w:kern w:val="0"/>
                <w:sz w:val="20"/>
                <w:szCs w:val="24"/>
                <w:lang w:val="cs-CZ" w:eastAsia="cs-CZ" w:bidi="ar-SA"/>
              </w:rPr>
              <w:t>Vlastní rozšíření</w:t>
            </w:r>
          </w:p>
        </w:tc>
        <w:tc>
          <w:tcPr>
            <w:tcW w:w="4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 xml:space="preserve">Přepínání mezi </w:t>
            </w: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čtyřmi</w:t>
            </w: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 xml:space="preserve"> shader programy 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  <w:t xml:space="preserve">P 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  <w:t>Mode 0 - 3</w:t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continue"/>
            <w:tcBorders>
              <w:top w:val="nil"/>
              <w:start w:val="single" w:sz="4" w:space="0" w:color="000000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eastAsia="Times New Roman" w:cs="Arial"/>
                <w:i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i w:val="false"/>
                <w:sz w:val="20"/>
                <w:szCs w:val="24"/>
                <w:lang w:eastAsia="cs-CZ"/>
              </w:rPr>
            </w:r>
          </w:p>
        </w:tc>
        <w:tc>
          <w:tcPr>
            <w:tcW w:w="4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Zobrazení předdefinovaného objektu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  <w:t>1</w:t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  <w:t>P (mode 2)</w:t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continue"/>
            <w:tcBorders>
              <w:top w:val="nil"/>
              <w:start w:val="single" w:sz="4" w:space="0" w:color="000000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eastAsia="Times New Roman" w:cs="Arial"/>
                <w:i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i w:val="false"/>
                <w:sz w:val="20"/>
                <w:szCs w:val="24"/>
                <w:lang w:eastAsia="cs-CZ"/>
              </w:rPr>
            </w:r>
          </w:p>
        </w:tc>
        <w:tc>
          <w:tcPr>
            <w:tcW w:w="4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sz w:val="20"/>
                <w:szCs w:val="24"/>
                <w:lang w:eastAsia="cs-CZ"/>
              </w:rPr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Merge w:val="continue"/>
            <w:tcBorders>
              <w:top w:val="nil"/>
              <w:start w:val="single" w:sz="4" w:space="0" w:color="000000"/>
              <w:bottom w:val="single" w:sz="4" w:space="0" w:color="000000"/>
              <w:end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Arial" w:hAnsi="Arial" w:eastAsia="Times New Roman" w:cs="Arial"/>
                <w:i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i w:val="false"/>
                <w:sz w:val="20"/>
                <w:szCs w:val="24"/>
                <w:lang w:eastAsia="cs-CZ"/>
              </w:rPr>
            </w:r>
          </w:p>
        </w:tc>
        <w:tc>
          <w:tcPr>
            <w:tcW w:w="4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sz w:val="20"/>
                <w:szCs w:val="24"/>
                <w:lang w:eastAsia="cs-CZ"/>
              </w:rPr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</w:r>
          </w:p>
        </w:tc>
        <w:tc>
          <w:tcPr>
            <w:tcW w:w="1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</w:r>
          </w:p>
        </w:tc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</w:r>
          </w:p>
        </w:tc>
      </w:tr>
    </w:tbl>
    <w:p>
      <w:pPr>
        <w:pStyle w:val="Normal"/>
        <w:spacing w:before="0" w:after="160"/>
        <w:rPr>
          <w:sz w:val="20"/>
        </w:rPr>
      </w:pPr>
      <w:r>
        <w:rPr>
          <w:sz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567" w:right="426" w:gutter="0" w:header="708" w:top="765" w:footer="708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Arial">
    <w:charset w:val="ee" w:characterSet="windows-1250"/>
    <w:family w:val="swiss"/>
    <w:pitch w:val="variable"/>
  </w:font>
  <w:font w:name="Times New Roman">
    <w:charset w:val="ee" w:characterSet="windows-125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9072"/>
        <w:tab w:val="right" w:pos="10913" w:leader="none"/>
      </w:tabs>
      <w:rPr>
        <w:rFonts w:ascii="Arial" w:hAnsi="Arial" w:cs="Arial"/>
        <w:b/>
        <w:bCs/>
      </w:rPr>
    </w:pPr>
    <w:r>
      <w:rPr>
        <w:rFonts w:cs="Arial" w:ascii="Arial" w:hAnsi="Arial"/>
        <w:b/>
        <w:bCs/>
        <w:i/>
        <w:iCs/>
      </w:rPr>
      <w:t>PGRF3 2025: Hodnotící tabulka k úloze 1 (Povinně odevzdat)</w:t>
      <w:tab/>
    </w:r>
    <w:r>
      <w:rPr>
        <w:rFonts w:cs="Arial" w:ascii="Arial" w:hAnsi="Arial"/>
        <w:b/>
        <w:bCs/>
        <w:i w:val="false"/>
        <w:iCs w:val="false"/>
        <w:shd w:fill="auto" w:val="clear"/>
      </w:rPr>
      <w:t>Anežka Musilová</w:t>
    </w:r>
    <w:r>
      <w:rPr>
        <w:rFonts w:cs="Arial" w:ascii="Arial" w:hAnsi="Arial"/>
        <w:b/>
        <w:bCs/>
      </w:rPr>
      <w:t xml:space="preserve">, kombinovaná forma 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9072"/>
        <w:tab w:val="right" w:pos="10913" w:leader="none"/>
      </w:tabs>
      <w:rPr>
        <w:rFonts w:ascii="Arial" w:hAnsi="Arial" w:cs="Arial"/>
        <w:b/>
        <w:bCs/>
      </w:rPr>
    </w:pPr>
    <w:r>
      <w:rPr>
        <w:rFonts w:cs="Arial" w:ascii="Arial" w:hAnsi="Arial"/>
        <w:b/>
        <w:bCs/>
        <w:i/>
        <w:iCs/>
      </w:rPr>
      <w:t>PGRF3 2025: Hodnotící tabulka k úloze 1 (Povinně odevzdat)</w:t>
      <w:tab/>
    </w:r>
    <w:r>
      <w:rPr>
        <w:rFonts w:cs="Arial" w:ascii="Arial" w:hAnsi="Arial"/>
        <w:b/>
        <w:bCs/>
        <w:i w:val="false"/>
        <w:iCs w:val="false"/>
        <w:shd w:fill="auto" w:val="clear"/>
      </w:rPr>
      <w:t>Anežka Musilová</w:t>
    </w:r>
    <w:r>
      <w:rPr>
        <w:rFonts w:cs="Arial" w:ascii="Arial" w:hAnsi="Arial"/>
        <w:b/>
        <w:bCs/>
      </w:rPr>
      <w:t xml:space="preserve">, kombinovaná forma </w: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cs-C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cs-CZ" w:eastAsia="zh-TW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cs-CZ" w:eastAsia="zh-TW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ZhlavChar" w:customStyle="1">
    <w:name w:val="Záhlaví Char"/>
    <w:basedOn w:val="DefaultParagraphFont"/>
    <w:uiPriority w:val="99"/>
    <w:qFormat/>
    <w:rsid w:val="005b467f"/>
    <w:rPr/>
  </w:style>
  <w:style w:type="character" w:styleId="ZpatChar" w:customStyle="1">
    <w:name w:val="Zápatí Char"/>
    <w:basedOn w:val="DefaultParagraphFont"/>
    <w:uiPriority w:val="99"/>
    <w:qFormat/>
    <w:rsid w:val="005b467f"/>
    <w:rPr/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Arial"/>
    </w:rPr>
  </w:style>
  <w:style w:type="paragraph" w:styleId="Nadpisuser">
    <w:name w:val="Nadpis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Rejstkuser">
    <w:name w:val="Rejstřík (user)"/>
    <w:basedOn w:val="Normal"/>
    <w:qFormat/>
    <w:pPr>
      <w:suppressLineNumbers/>
    </w:pPr>
    <w:rPr>
      <w:rFonts w:cs="Arial"/>
    </w:rPr>
  </w:style>
  <w:style w:type="paragraph" w:styleId="Zhlavazpat">
    <w:name w:val="Záhlaví a zápatí"/>
    <w:basedOn w:val="Normal"/>
    <w:qFormat/>
    <w:pPr/>
    <w:rPr/>
  </w:style>
  <w:style w:type="paragraph" w:styleId="Zhlavazpatuser">
    <w:name w:val="Záhlaví a zápatí (user)"/>
    <w:basedOn w:val="Normal"/>
    <w:qFormat/>
    <w:pPr/>
    <w:rPr/>
  </w:style>
  <w:style w:type="paragraph" w:styleId="Header">
    <w:name w:val="header"/>
    <w:basedOn w:val="Normal"/>
    <w:link w:val="ZhlavChar"/>
    <w:uiPriority w:val="99"/>
    <w:unhideWhenUsed/>
    <w:rsid w:val="005b467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ZpatChar"/>
    <w:uiPriority w:val="99"/>
    <w:unhideWhenUsed/>
    <w:rsid w:val="005b467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Obsahtabulky">
    <w:name w:val="Obsah tabulky"/>
    <w:basedOn w:val="Normal"/>
    <w:qFormat/>
    <w:pPr>
      <w:widowControl w:val="false"/>
      <w:suppressLineNumbers/>
    </w:pPr>
    <w:rPr/>
  </w:style>
  <w:style w:type="paragraph" w:styleId="Nadpistabulky">
    <w:name w:val="Nadpis tabulky"/>
    <w:basedOn w:val="Obsahtabulky"/>
    <w:qFormat/>
    <w:pPr>
      <w:suppressLineNumbers/>
      <w:jc w:val="center"/>
    </w:pPr>
    <w:rPr>
      <w:b/>
      <w:bCs/>
    </w:rPr>
  </w:style>
  <w:style w:type="paragraph" w:styleId="Obsahtabulkyuser">
    <w:name w:val="Obsah tabulky (user)"/>
    <w:basedOn w:val="Normal"/>
    <w:qFormat/>
    <w:pPr>
      <w:widowControl w:val="false"/>
      <w:suppressLineNumbers/>
    </w:pPr>
    <w:rPr/>
  </w:style>
  <w:style w:type="paragraph" w:styleId="Nadpistabulkyuser">
    <w:name w:val="Nadpis tabulky (user)"/>
    <w:basedOn w:val="Obsahtabulkyuser"/>
    <w:qFormat/>
    <w:pPr>
      <w:suppressLineNumbers/>
      <w:jc w:val="center"/>
    </w:pPr>
    <w:rPr>
      <w:b/>
      <w:bCs/>
    </w:rPr>
  </w:style>
  <w:style w:type="numbering" w:styleId="Bezseznamu" w:default="1">
    <w:name w:val="Bez seznamu"/>
    <w:uiPriority w:val="99"/>
    <w:semiHidden/>
    <w:unhideWhenUsed/>
    <w:qFormat/>
  </w:style>
  <w:style w:type="table" w:default="1" w:styleId="Normlntabulk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Barevntabulkaseznamu6zvraznn1">
    <w:name w:val="List Table 6 Colorful Accent 1"/>
    <w:basedOn w:val="Normlntabulka"/>
    <w:uiPriority w:val="51"/>
    <w:rsid w:val="00ba3a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ulkasmkou2">
    <w:name w:val="Grid Table 2"/>
    <w:basedOn w:val="Normlntabulka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ulkasmkou2zvraznn1">
    <w:name w:val="Grid Table 2 Accent 1"/>
    <w:basedOn w:val="Normlntabulka"/>
    <w:uiPriority w:val="47"/>
    <w:rsid w:val="00c3465a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Mkatabulky">
    <w:name w:val="Table Grid"/>
    <w:basedOn w:val="Normlntabulka"/>
    <w:uiPriority w:val="39"/>
    <w:rsid w:val="00c3465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ulkasmkou3">
    <w:name w:val="Grid Table 3"/>
    <w:basedOn w:val="Normlntabulka"/>
    <w:uiPriority w:val="48"/>
    <w:rsid w:val="00c3465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iv Office">
  <a:themeElements>
    <a:clrScheme name="Kancelář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Application>LibreOffice/26.2.2.2$Windows_X86_64 LibreOffice_project/1f77d10d6938fd34972958f64b2bcfa54f8b1ba5</Application>
  <AppVersion>15.0000</AppVersion>
  <Pages>2</Pages>
  <Words>401</Words>
  <Characters>2069</Characters>
  <CharactersWithSpaces>2356</CharactersWithSpaces>
  <Paragraphs>135</Paragraphs>
  <Company>UHK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2024-09-18T05:27:00Z</dcterms:created>
  <dc:creator>Ježek Bruno</dc:creator>
  <dc:description/>
  <dc:language>cs-CZ</dc:language>
  <cp:lastModifiedBy/>
  <dcterms:modified xsi:type="dcterms:W3CDTF">2026-05-05T21:33:41Z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