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/>
          <w:sz w:val="36"/>
          <w:szCs w:val="28"/>
        </w:rPr>
      </w:pPr>
      <w:r>
        <w:rPr>
          <w:rFonts w:cs="Calibri"/>
          <w:sz w:val="36"/>
          <w:szCs w:val="28"/>
        </w:rPr>
        <w:t>УНИВЕРСИТЕТ ИТМО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Дисциплина «Информационный системы и базы данных»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b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Лабораторная работа №1</w:t>
      </w:r>
    </w:p>
    <w:p>
      <w:pPr>
        <w:pStyle w:val="Normal"/>
        <w:jc w:val="center"/>
        <w:rPr>
          <w:rFonts w:cs="Calibri"/>
          <w:i/>
          <w:i/>
          <w:iCs/>
          <w:sz w:val="32"/>
          <w:szCs w:val="24"/>
        </w:rPr>
      </w:pPr>
      <w:r>
        <w:rPr>
          <w:rFonts w:cs="Calibri"/>
          <w:i/>
          <w:iCs/>
          <w:sz w:val="32"/>
          <w:szCs w:val="24"/>
        </w:rPr>
        <w:t>Вариант 373329</w:t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Студент: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Собитов А.А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P3115</w:t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Преподаватель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32"/>
        </w:rPr>
      </w:pPr>
      <w:r>
        <w:rPr>
          <w:rFonts w:cs="Calibri"/>
          <w:i/>
          <w:iCs/>
          <w:sz w:val="28"/>
          <w:szCs w:val="32"/>
        </w:rPr>
        <w:t> </w:t>
      </w:r>
      <w:r>
        <w:rPr>
          <w:rFonts w:cs="Calibri"/>
          <w:i/>
          <w:iCs/>
          <w:sz w:val="28"/>
          <w:szCs w:val="32"/>
        </w:rPr>
        <w:tab/>
        <w:t>Горбунов Михаил Витальевич</w:t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eastAsia="Times New Roman" w:cs="Calibri"/>
          <w:caps/>
          <w:spacing w:val="1"/>
          <w:sz w:val="28"/>
          <w:szCs w:val="24"/>
        </w:rPr>
      </w:pPr>
      <w:r>
        <w:rPr>
          <w:rFonts w:eastAsia="Times New Roman" w:cs="Calibri"/>
          <w:caps/>
          <w:spacing w:val="1"/>
          <w:sz w:val="28"/>
          <w:szCs w:val="24"/>
        </w:rPr>
        <w:t xml:space="preserve">Санкт-Петербург, 2023 </w:t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>
      <w:pPr>
        <w:pStyle w:val="Normal"/>
        <w:spacing w:lineRule="auto" w:line="240" w:before="0" w:after="150"/>
        <w:rPr>
          <w:rFonts w:eastAsia="Times New Roman" w:cs="Calibri"/>
          <w:b/>
          <w:b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/>
          <w:bCs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>
      <w:pPr>
        <w:pStyle w:val="Normal"/>
        <w:numPr>
          <w:ilvl w:val="0"/>
          <w:numId w:val="2"/>
        </w:numPr>
        <w:spacing w:lineRule="auto" w:line="240" w:before="28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инфологическую модель.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bCs/>
          <w:color w:val="333333"/>
          <w:sz w:val="24"/>
          <w:szCs w:val="24"/>
          <w:lang w:eastAsia="ru-RU"/>
        </w:rPr>
      </w:pPr>
      <w:r>
        <w:rPr>
          <w:rFonts w:eastAsia="Times New Roman" w:cs="Calibri"/>
          <w:bCs/>
          <w:color w:val="333333"/>
          <w:sz w:val="24"/>
          <w:szCs w:val="24"/>
          <w:lang w:eastAsia="ru-RU"/>
        </w:rPr>
        <w:t>Заполнить созданные таблицы тестовыми данными.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eastAsia="Times New Roman" w:cs="Calibri"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Cs/>
          <w:color w:val="333333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1. Текст задания</w:t>
      </w:r>
    </w:p>
    <w:p>
      <w:pPr>
        <w:pStyle w:val="Normal"/>
        <w:spacing w:lineRule="auto" w:line="240" w:before="0" w:after="0"/>
        <w:jc w:val="left"/>
        <w:rPr>
          <w:rFonts w:eastAsia="Times New Roman" w:cs="Calibri"/>
          <w:bCs/>
          <w:color w:val="333333"/>
          <w:sz w:val="20"/>
          <w:szCs w:val="20"/>
          <w:lang w:eastAsia="ru-RU"/>
        </w:rPr>
      </w:pPr>
      <w:r>
        <w:rPr>
          <w:rFonts w:eastAsia="Times New Roman" w:cs="Calibri"/>
          <w:bCs/>
          <w:color w:val="333333"/>
          <w:sz w:val="20"/>
          <w:szCs w:val="20"/>
          <w:lang w:eastAsia="ru-RU"/>
        </w:rPr>
        <w:t xml:space="preserve">Магнитное поле монолита, которое помогло его обнаружить, исчезло в то самое мгновение, когда раздался сигнал. Некоторые специалисты высказали предположение, что это поле генерировалось мощным током, который циркулировал в каком-то сверхпроводнике, не затухая на протяжении всех бесчисленных веков и сохраняя энергию до момента, когда она потребуется. Несомненно одно: в этой черной глыбе таился какой-то внутренний источник энергии; количество солнечной энергии, поглощенное ею за короткое время, прошедшее после восхода солнца, не могло дать сигнал такой мощности. 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2. Описание предметной области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eastAsia="ru-RU"/>
        </w:rPr>
        <w:t>Магнитное поле монолита, которое исчезло после срабатывания сигнала. Это магнитное поле предположительно генерировалось мощным током, циркулирующим в сверхпроводнике. Монолит содержит внутренний источник энергии, который не зависит от солнечной энергии.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 w:eastAsia="ru-RU"/>
        </w:rPr>
        <w:t xml:space="preserve">3. </w:t>
      </w: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/>
      </w:pPr>
      <w:r>
        <w:rPr>
          <w:rFonts w:eastAsia="Times New Roman" w:cs="Times New Roman"/>
          <w:b/>
          <w:bCs/>
          <w:color w:val="333333"/>
          <w:sz w:val="25"/>
          <w:szCs w:val="25"/>
          <w:lang w:val="ru-RU" w:eastAsia="ru-RU"/>
        </w:rPr>
        <w:t>Стержневые</w:t>
      </w:r>
      <w:r>
        <w:rPr>
          <w:rFonts w:eastAsia="Times New Roman" w:cs="Times New Roman"/>
          <w:b/>
          <w:bCs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Monolith — монолит, основной объект исследования.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Specialists — специалисты, занимающиеся иследованиями монолитов и токов.</w:t>
      </w:r>
    </w:p>
    <w:p>
      <w:pPr>
        <w:pStyle w:val="Style23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Magnetic_Fields (Магнитные поля) - магнитные поля, создаваемые токами в монолитах, исчезающие после срабатывания сигнала.</w:t>
      </w:r>
    </w:p>
    <w:p>
      <w:pPr>
        <w:pStyle w:val="ListParagraph"/>
        <w:spacing w:lineRule="auto" w:line="240" w:before="0" w:after="0"/>
        <w:ind w:right="0" w:hanging="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Ассоциативная сущность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: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Specialist_Monolith - связывает специалистов и монолиты, над которыми они работают.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Current_Magnetic_Field - связывает токи и магнитные поля, создаваемые этими токами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Style23"/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720" w:right="0" w:hanging="36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Superconductors — сверхпроводники,материалы используемые в исследованиях.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Currents (Токи) - электрические токи, связанные с монолитами, предположительно генерирующие магнитные поля.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Signals (Сигналы) - мощный сигнал, исходящий от монолита и связанный с исчезновением магнитного поля.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5"/>
          <w:szCs w:val="25"/>
        </w:rPr>
        <w:t>Связи</w:t>
      </w:r>
      <w:r>
        <w:rPr>
          <w:b/>
          <w:bCs/>
          <w:color w:val="000000"/>
          <w:sz w:val="20"/>
          <w:szCs w:val="20"/>
        </w:rPr>
        <w:t>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Monolith</w:t>
      </w:r>
      <w:r>
        <w:rPr>
          <w:b w:val="false"/>
          <w:bCs w:val="false"/>
          <w:color w:val="000000"/>
          <w:sz w:val="20"/>
          <w:szCs w:val="20"/>
        </w:rPr>
        <w:t xml:space="preserve"> и</w:t>
      </w:r>
      <w:r>
        <w:rPr>
          <w:b/>
          <w:bCs/>
          <w:color w:val="000000"/>
          <w:sz w:val="20"/>
          <w:szCs w:val="20"/>
        </w:rPr>
        <w:t xml:space="preserve"> Currents — 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иметь несколько токов.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и </w:t>
      </w:r>
      <w:r>
        <w:rPr>
          <w:b/>
          <w:bCs/>
          <w:i w:val="false"/>
          <w:iCs w:val="false"/>
          <w:color w:val="000000"/>
          <w:sz w:val="22"/>
          <w:szCs w:val="22"/>
        </w:rPr>
        <w:t xml:space="preserve">Specialists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Мнокие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монолит может быть исследован несколькими специалистами, и один специалист может исследовать несколько монолитов.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Currents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>многие-ко-многим.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ток может создавать несколько магнитных полей, и одно магнитное поле может быть создано несколькими токами.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Material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Currents — один ко 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сверхпроводник может быть связан с несколькими токами</w:t>
      </w:r>
    </w:p>
    <w:p>
      <w:pPr>
        <w:pStyle w:val="Style23"/>
        <w:numPr>
          <w:ilvl w:val="0"/>
          <w:numId w:val="4"/>
        </w:numPr>
        <w:spacing w:lineRule="auto" w:line="240" w:before="0" w:after="0"/>
        <w:ind w:left="720" w:right="0" w:hanging="36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и general_monolith:  "один ко многим".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генерировать несколько сигналов.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4. Инфологическая модель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31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42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 w:val="false"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 w:val="false"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5. Даталогическая модель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32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6.Реализация даталогической модели на SQL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Monolith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weight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location text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length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energy_sourse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discovery_date date not null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description_energies text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Material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critical_temperature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discovered_by TEXT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Currents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material_id INTEGER NOT NULL REFERENCES Material(id),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Magnetic_Fields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creation_date DATE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gender varchar(10),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experience_years integer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email text unique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specialist_monolith_isledovaniya(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spesialist_id INTEGER not null references specialist_isledovaniya(id), 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TABLE Current_Magnetic_Field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current_id INTEGER NOT NULL REFERENCES Currents(id)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magnetic_field_id INTEGER NOT NULL REFERENCES Magnetic_Fields(id)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generator_monolith(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strength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source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6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1"/>
        <w:ind w:left="0" w:hanging="0"/>
        <w:rPr/>
      </w:pPr>
      <w:bookmarkStart w:id="0" w:name="_Toc128605686"/>
      <w:r>
        <w:rPr/>
        <w:t>Вывод</w:t>
      </w:r>
      <w:bookmarkEnd w:id="0"/>
    </w:p>
    <w:p>
      <w:pPr>
        <w:pStyle w:val="Normal"/>
        <w:widowControl/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 xml:space="preserve">Я научился создавать таблицы в базах данных </w:t>
      </w:r>
      <w:r>
        <w:rPr>
          <w:rFonts w:eastAsia="Times New Roman" w:cs="Times New Roman"/>
          <w:b/>
          <w:color w:val="333333"/>
          <w:sz w:val="24"/>
          <w:szCs w:val="24"/>
          <w:lang w:val="en-US" w:eastAsia="ru-RU"/>
        </w:rPr>
        <w:t>PSQL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, задавать ключи и отношения между таблицами и работать с их полями.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i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2F5496"/>
      <w:sz w:val="26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DejaVu Sans"/>
      <w:color w:val="1F3763"/>
      <w:szCs w:val="24"/>
    </w:rPr>
  </w:style>
  <w:style w:type="character" w:styleId="DefaultParagraphFont">
    <w:name w:val="Default Paragraph Font"/>
    <w:qFormat/>
    <w:rPr/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2F5496"/>
      <w:sz w:val="32"/>
      <w:szCs w:val="32"/>
      <w:lang w:val="ru-RU"/>
    </w:rPr>
  </w:style>
  <w:style w:type="character" w:styleId="Markedcontent">
    <w:name w:val="markedcontent"/>
    <w:basedOn w:val="DefaultParagraphFont"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2F5496"/>
      <w:sz w:val="26"/>
      <w:szCs w:val="26"/>
      <w:lang w:val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DejaVu Sans"/>
      <w:color w:val="1F3763"/>
      <w:sz w:val="24"/>
      <w:szCs w:val="24"/>
      <w:lang w:val="ru-RU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Код Знак"/>
    <w:basedOn w:val="DefaultParagraphFont"/>
    <w:link w:val="Style33"/>
    <w:qFormat/>
    <w:rPr>
      <w:rFonts w:ascii="Courier New" w:hAnsi="Courier New" w:cs="Courier New"/>
      <w:sz w:val="18"/>
      <w:lang w:eastAsia="ru-RU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4"/>
      <w:lang w:val="ru-RU"/>
    </w:rPr>
  </w:style>
  <w:style w:type="character" w:styleId="Qv3wpe">
    <w:name w:val="qv3wp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link w:val="Annotationtext"/>
    <w:qFormat/>
    <w:rPr>
      <w:rFonts w:ascii="Times New Roman" w:hAnsi="Times New Roman"/>
      <w:sz w:val="20"/>
      <w:szCs w:val="20"/>
      <w:lang w:val="ru-RU"/>
    </w:rPr>
  </w:style>
  <w:style w:type="character" w:styleId="Style16">
    <w:name w:val="Тема примечания Знак"/>
    <w:basedOn w:val="Style15"/>
    <w:link w:val="Annotationsubject"/>
    <w:qFormat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концевой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>
    <w:name w:val="Title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heading">
    <w:name w:val="index heading"/>
    <w:basedOn w:val="Style27"/>
    <w:qFormat/>
    <w:pPr/>
    <w:rPr/>
  </w:style>
  <w:style w:type="paragraph" w:styleId="Style28">
    <w:name w:val="По умолчанию"/>
    <w:next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Index Heading"/>
    <w:basedOn w:val="Style22"/>
    <w:pPr/>
    <w:rPr/>
  </w:style>
  <w:style w:type="paragraph" w:styleId="Style32">
    <w:name w:val="TOC Heading"/>
    <w:basedOn w:val="1"/>
    <w:next w:val="Normal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33">
    <w:name w:val="Код"/>
    <w:basedOn w:val="Normal"/>
    <w:link w:val="Style13"/>
    <w:qFormat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eastAsia="Times New Roman" w:cs="Times New Roman"/>
      <w:szCs w:val="24"/>
      <w:lang w:eastAsia="ru-RU"/>
    </w:rPr>
  </w:style>
  <w:style w:type="paragraph" w:styleId="Style34">
    <w:name w:val="Header"/>
    <w:basedOn w:val="Normal"/>
    <w:link w:val="Style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Annotationtext">
    <w:name w:val="annotation text"/>
    <w:basedOn w:val="Normal"/>
    <w:link w:val="Style15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jc w:val="center"/>
    </w:pPr>
    <w:rPr>
      <w:b/>
      <w:bCs/>
    </w:rPr>
  </w:style>
  <w:style w:type="paragraph" w:styleId="Style37">
    <w:name w:val="End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Application>LibreOffice/7.3.7.2$Linux_X86_64 LibreOffice_project/30$Build-2</Application>
  <AppVersion>15.0000</AppVersion>
  <Pages>5</Pages>
  <Words>626</Words>
  <Characters>4274</Characters>
  <CharactersWithSpaces>4889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2023-02-19T07:05:00Z</dcterms:created>
  <dc:creator>Суханкин Дмитрий Юрьевич</dc:creator>
  <dc:description/>
  <dc:language>ru-RU</dc:language>
  <cp:lastModifiedBy/>
  <dcterms:modified xsi:type="dcterms:W3CDTF">2023-05-20T18:29:35Z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