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Financial Myself</w:t>
      </w:r>
    </w:p>
    <w:p>
      <w:pPr>
        <w:pStyle w:val="Subtitle"/>
      </w:pPr>
      <w:r>
        <w:t xml:space="preserve">System Documentation</w:t>
      </w:r>
    </w:p>
    <w:p>
      <w:pPr/>
      <w:r>
        <w:rPr>
          <w:b/>
        </w:rPr>
        <w:t xml:space="preserve">Version: </w:t>
      </w:r>
      <w:r>
        <w:t xml:space="preserve">0.1.0</w:t>
      </w:r>
    </w:p>
    <w:p>
      <w:pPr/>
      <w:r>
        <w:rPr>
          <w:b/>
        </w:rPr>
        <w:t xml:space="preserve">Generated: </w:t>
      </w:r>
      <w:r>
        <w:t xml:space="preserve">2026-08-26</w:t>
      </w:r>
    </w:p>
    <w:p>
      <w:pPr/>
      <w:r>
        <w:rPr>
          <w:b/>
        </w:rPr>
        <w:t xml:space="preserve">Stack: </w:t>
      </w:r>
      <w:r>
        <w:t xml:space="preserve">Next.js 16 (App Router) · React 19 · TypeScript · Prisma 7 · PostgreSQL · NextAuth v5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/>
      <w:r>
        <w:t xml:space="preserve">Financial Myself is a personal budgeting web application. It helps a single user allocate income across purpose-driven “buckets” (bills, savings, sinking funds, goals, daily spending) spread across multiple real-world financial accounts. Account and bucket balances are derived from a running ledger of transactions, and a rule-based engine suggests how each paycheck should be split. Transaction history can be entered by hand or bulk-imported from a bank statement (CSV or PDF), and an analytics page charts spending, net worth, and savings rate over time.</w:t>
      </w:r>
    </w:p>
    <w:p>
      <w:pPr/>
      <w:r>
        <w:rPr>
          <w:b/>
        </w:rPr>
        <w:t xml:space="preserve">Key capabilities:</w:t>
      </w:r>
    </w:p>
    <w:p>
      <w:pPr>
        <w:pStyle w:val="Bullet"/>
      </w:pPr>
      <w:r>
        <w:t xml:space="preserve">•	</w:t>
      </w:r>
      <w:r>
        <w:t xml:space="preserve">Email/password authentication with per-user data isolation</w:t>
      </w:r>
    </w:p>
    <w:p>
      <w:pPr>
        <w:pStyle w:val="Bullet"/>
      </w:pPr>
      <w:r>
        <w:t xml:space="preserve">•	</w:t>
      </w:r>
      <w:r>
        <w:t xml:space="preserve">Multiple financial accounts (checking, savings, investment), each holding one or more purpose buckets</w:t>
      </w:r>
    </w:p>
    <w:p>
      <w:pPr>
        <w:pStyle w:val="Bullet"/>
      </w:pPr>
      <w:r>
        <w:t xml:space="preserve">•	</w:t>
      </w:r>
      <w:r>
        <w:t xml:space="preserve">Recurring bills, sinking-fund items (annual costs saved for monthly), and savings goals tracked per bucket, with inline add/edit/delete</w:t>
      </w:r>
    </w:p>
    <w:p>
      <w:pPr>
        <w:pStyle w:val="Bullet"/>
      </w:pPr>
      <w:r>
        <w:t xml:space="preserve">•	</w:t>
      </w:r>
      <w:r>
        <w:t xml:space="preserve">A rule-based engine that suggests how to split income across buckets and flags shortfalls or underfunded items</w:t>
      </w:r>
    </w:p>
    <w:p>
      <w:pPr>
        <w:pStyle w:val="Bullet"/>
      </w:pPr>
      <w:r>
        <w:t xml:space="preserve">•	</w:t>
      </w:r>
      <w:r>
        <w:t xml:space="preserve">Bank statement import (CSV or PDF, including password-protected PDFs) with keyword-based auto-categorization and an optional AI-assisted parsing fallback</w:t>
      </w:r>
    </w:p>
    <w:p>
      <w:pPr>
        <w:pStyle w:val="Bullet"/>
      </w:pPr>
      <w:r>
        <w:t xml:space="preserve">•	</w:t>
      </w:r>
      <w:r>
        <w:t xml:space="preserve">An analytics page: monthly spending by bucket, net worth trend, and savings rate trend</w:t>
      </w:r>
    </w:p>
    <w:p>
      <w:pPr>
        <w:pStyle w:val="Bullet"/>
      </w:pPr>
      <w:r>
        <w:t xml:space="preserve">•	</w:t>
      </w:r>
      <w:r>
        <w:t xml:space="preserve">A dashboard showing balances, progress bars, and quick-add forms for logging income/transactions</w:t>
      </w:r>
    </w:p>
    <w:p>
      <w:pPr>
        <w:pStyle w:val="Heading1"/>
      </w:pPr>
      <w:r>
        <w:t xml:space="preserve">2. Technology Stack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600"/>
        <w:gridCol w:w="6750"/>
      </w:tblGrid>
      <w:tr>
        <w:tc>
          <w:tcPr>
            <w:tcW w:w="26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tcW w:w="67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Technology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Next.js 16.3 (App Router), React 19.2, TypeScript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Styling / UI kit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Tailwind CSS 4, DaisyUI (“cupcake” theme), shadcn/ui + Radix UI primitives, Lucide icons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Fonts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Local “Chillax” variable-weight font + Google “Geist Mono”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NextAuth v5 (beta) — Credentials provider, JWT session strategy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Password hashing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bcryptjs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PostgreSQL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ORM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Prisma ORM 7 (prisma-client generator) via the @prisma/adapter-pg driver adapter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Validation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Zod 4 — used to validate every API route request body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Statement import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unpdf (PDF text extraction), a hand-rolled CSV parser, and @google/genai (Gemini) for optional AI-assisted parsing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Charting / color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recharts; palette helpers in lib/palette.ts mapped to DaisyUI theme colors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Linting</w:t>
            </w:r>
          </w:p>
        </w:tc>
        <w:tc>
          <w:tcPr>
            <w:tcW w:w="6750" w:type="dxa"/>
            <w:vAlign w:val="center"/>
          </w:tcPr>
          <w:p>
            <w:pPr>
              <w:spacing w:after="0"/>
            </w:pPr>
            <w:r>
              <w:t xml:space="preserve">ESLint 9 / eslint-config-next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3. Project Structure</w:t>
      </w:r>
    </w:p>
    <w:p>
      <w:pPr>
        <w:pStyle w:val="Code"/>
      </w:pPr>
      <w:r>
        <w:t xml:space="preserve">app/</w:t>
      </w:r>
    </w:p>
    <w:p>
      <w:pPr>
        <w:pStyle w:val="Code"/>
      </w:pPr>
      <w:r>
        <w:t xml:space="preserve">  api/                      REST route handlers (App Router "route.ts" files)</w:t>
      </w:r>
    </w:p>
    <w:p>
      <w:pPr>
        <w:pStyle w:val="Code"/>
      </w:pPr>
      <w:r>
        <w:t xml:space="preserve">  dashboard/                Dashboard page + client/server components</w:t>
      </w:r>
    </w:p>
    <w:p>
      <w:pPr>
        <w:pStyle w:val="Code"/>
      </w:pPr>
      <w:r>
        <w:t xml:space="preserve">    analytics/              Spending / net worth / savings rate charts</w:t>
      </w:r>
    </w:p>
    <w:p>
      <w:pPr>
        <w:pStyle w:val="Code"/>
      </w:pPr>
      <w:r>
        <w:t xml:space="preserve">    import/                 Statement import UI + category-rule manager</w:t>
      </w:r>
    </w:p>
    <w:p>
      <w:pPr>
        <w:pStyle w:val="Code"/>
      </w:pPr>
      <w:r>
        <w:t xml:space="preserve">  login/, signup/           Auth pages</w:t>
      </w:r>
    </w:p>
    <w:p>
      <w:pPr>
        <w:pStyle w:val="Code"/>
      </w:pPr>
      <w:r>
        <w:t xml:space="preserve">  fonts/chillax/            Local "Chillax" font files (woff2)</w:t>
      </w:r>
    </w:p>
    <w:p>
      <w:pPr>
        <w:pStyle w:val="Code"/>
      </w:pPr>
      <w:r>
        <w:t xml:space="preserve">  generated/prisma/         Generated Prisma Client output (git-ignored)</w:t>
      </w:r>
    </w:p>
    <w:p>
      <w:pPr>
        <w:pStyle w:val="Code"/>
      </w:pPr>
      <w:r>
        <w:t xml:space="preserve">  layout.tsx, page.tsx, providers.tsx, globals.css</w:t>
      </w:r>
    </w:p>
    <w:p>
      <w:pPr>
        <w:pStyle w:val="Code"/>
      </w:pPr>
      <w:r>
        <w:t xml:space="preserve">components/ui/              shadcn/ui primitives (Radix-based)</w:t>
      </w:r>
    </w:p>
    <w:p>
      <w:pPr>
        <w:pStyle w:val="Code"/>
      </w:pPr>
      <w:r>
        <w:t xml:space="preserve">lib/</w:t>
      </w:r>
    </w:p>
    <w:p>
      <w:pPr>
        <w:pStyle w:val="Code"/>
      </w:pPr>
      <w:r>
        <w:t xml:space="preserve">  allocation-engine.ts      Core allocation algorithm</w:t>
      </w:r>
    </w:p>
    <w:p>
      <w:pPr>
        <w:pStyle w:val="Code"/>
      </w:pPr>
      <w:r>
        <w:t xml:space="preserve">  analytics.ts              Monthly spending / net worth / savings rate aggregation</w:t>
      </w:r>
    </w:p>
    <w:p>
      <w:pPr>
        <w:pStyle w:val="Code"/>
      </w:pPr>
      <w:r>
        <w:t xml:space="preserve">  categorize.ts             Keyword -&gt; bucket matching for imported transactions</w:t>
      </w:r>
    </w:p>
    <w:p>
      <w:pPr>
        <w:pStyle w:val="Code"/>
      </w:pPr>
      <w:r>
        <w:t xml:space="preserve">  csv.ts                    CSV statement parsing</w:t>
      </w:r>
    </w:p>
    <w:p>
      <w:pPr>
        <w:pStyle w:val="Code"/>
      </w:pPr>
      <w:r>
        <w:t xml:space="preserve">  pdf.ts                    PDF text extraction (unpdf), password handling</w:t>
      </w:r>
    </w:p>
    <w:p>
      <w:pPr>
        <w:pStyle w:val="Code"/>
      </w:pPr>
      <w:r>
        <w:t xml:space="preserve">  pdf-statement.ts          Transaction-line parsing from extracted PDF text</w:t>
      </w:r>
    </w:p>
    <w:p>
      <w:pPr>
        <w:pStyle w:val="Code"/>
      </w:pPr>
      <w:r>
        <w:t xml:space="preserve">  ai-parse.ts                Gemini-based statement parsing fallback</w:t>
      </w:r>
    </w:p>
    <w:p>
      <w:pPr>
        <w:pStyle w:val="Code"/>
      </w:pPr>
      <w:r>
        <w:t xml:space="preserve">  statement-shared.ts         Shared flexible date/amount parsing helpers</w:t>
      </w:r>
    </w:p>
    <w:p>
      <w:pPr>
        <w:pStyle w:val="Code"/>
      </w:pPr>
      <w:r>
        <w:t xml:space="preserve">  finance.ts                  Account/bucket balance aggregation helpers</w:t>
      </w:r>
    </w:p>
    <w:p>
      <w:pPr>
        <w:pStyle w:val="Code"/>
      </w:pPr>
      <w:r>
        <w:t xml:space="preserve">  format.ts                    Currency, month, and due-date formatting</w:t>
      </w:r>
    </w:p>
    <w:p>
      <w:pPr>
        <w:pStyle w:val="Code"/>
      </w:pPr>
      <w:r>
        <w:t xml:space="preserve">  onboarding.ts                 Default accounts/buckets/category-rules for new users</w:t>
      </w:r>
    </w:p>
    <w:p>
      <w:pPr>
        <w:pStyle w:val="Code"/>
      </w:pPr>
      <w:r>
        <w:t xml:space="preserve">  palette.ts                     Bucket color helpers (DaisyUI-token based)</w:t>
      </w:r>
    </w:p>
    <w:p>
      <w:pPr>
        <w:pStyle w:val="Code"/>
      </w:pPr>
      <w:r>
        <w:t xml:space="preserve">  prisma.ts                       Prisma client singleton (Postgres adapter)</w:t>
      </w:r>
    </w:p>
    <w:p>
      <w:pPr>
        <w:pStyle w:val="Code"/>
      </w:pPr>
      <w:r>
        <w:t xml:space="preserve">  session.ts                       requireUserId() auth helper for API routes</w:t>
      </w:r>
    </w:p>
    <w:p>
      <w:pPr>
        <w:pStyle w:val="Code"/>
      </w:pPr>
      <w:r>
        <w:t xml:space="preserve">  utils.ts                          shadcn/ui's cn() classname helper</w:t>
      </w:r>
    </w:p>
    <w:p>
      <w:pPr>
        <w:pStyle w:val="Code"/>
      </w:pPr>
      <w:r>
        <w:t xml:space="preserve">prisma/</w:t>
      </w:r>
    </w:p>
    <w:p>
      <w:pPr>
        <w:pStyle w:val="Code"/>
      </w:pPr>
      <w:r>
        <w:t xml:space="preserve">  schema.prisma                   Data model (PostgreSQL datasource)</w:t>
      </w:r>
    </w:p>
    <w:p>
      <w:pPr>
        <w:pStyle w:val="Code"/>
      </w:pPr>
      <w:r>
        <w:t xml:space="preserve">auth.ts                     NextAuth configuration</w:t>
      </w:r>
    </w:p>
    <w:p>
      <w:pPr>
        <w:pStyle w:val="Code"/>
      </w:pPr>
      <w:r>
        <w:t xml:space="preserve">proxy.ts                    Route-protection middleware (Next.js "proxy" convention)</w:t>
      </w:r>
    </w:p>
    <w:p>
      <w:pPr>
        <w:pStyle w:val="Code"/>
      </w:pPr>
      <w:r>
        <w:t xml:space="preserve">components.json             shadcn/ui configuration</w:t>
      </w:r>
    </w:p>
    <w:p>
      <w:pPr>
        <w:pStyle w:val="Code"/>
      </w:pPr>
      <w:r>
        <w:t xml:space="preserve">types/next-auth.d.ts        Session/JWT type augmentation</w:t>
      </w:r>
    </w:p>
    <w:p>
      <w:pPr>
        <w:pStyle w:val="Heading1"/>
      </w:pPr>
      <w:r>
        <w:t xml:space="preserve">4. Data Model</w:t>
      </w:r>
    </w:p>
    <w:p>
      <w:pPr/>
      <w:r>
        <w:t xml:space="preserve">All persistent data is defined in prisma/schema.prisma and stored in a PostgreSQL database (connected via DATABASE_URL). Every top-level record is scoped to a User, either directly or through its parent Bucket/Account, so data is fully isolated per user.</w:t>
      </w:r>
    </w:p>
    <w:p>
      <w:pPr>
        <w:pStyle w:val="Heading2"/>
      </w:pPr>
      <w:r>
        <w:t xml:space="preserve">4.1 Enumerations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800"/>
        <w:gridCol w:w="6550"/>
      </w:tblGrid>
      <w:tr>
        <w:tc>
          <w:tcPr>
            <w:tcW w:w="28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Enum</w:t>
            </w:r>
          </w:p>
        </w:tc>
        <w:tc>
          <w:tcPr>
            <w:tcW w:w="65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Values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/>
            </w:pPr>
            <w:r>
              <w:t xml:space="preserve">AccountType</w:t>
            </w:r>
          </w:p>
        </w:tc>
        <w:tc>
          <w:tcPr>
            <w:tcW w:w="6550" w:type="dxa"/>
            <w:vAlign w:val="center"/>
          </w:tcPr>
          <w:p>
            <w:pPr>
              <w:spacing w:after="0"/>
            </w:pPr>
            <w:r>
              <w:t xml:space="preserve">CHECKING, SAVINGS, INVESTMENT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/>
            </w:pPr>
            <w:r>
              <w:t xml:space="preserve">BucketKind</w:t>
            </w:r>
          </w:p>
        </w:tc>
        <w:tc>
          <w:tcPr>
            <w:tcW w:w="6550" w:type="dxa"/>
            <w:vAlign w:val="center"/>
          </w:tcPr>
          <w:p>
            <w:pPr>
              <w:spacing w:after="0"/>
            </w:pPr>
            <w:r>
              <w:t xml:space="preserve">DAILY_USE, BILLS, ENTERTAINMENT, EMERGENCY_FUND, SINKING_FUND, GOAL, DEBT, OTHER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/>
            </w:pPr>
            <w:r>
              <w:t xml:space="preserve">TxnDirection</w:t>
            </w:r>
          </w:p>
        </w:tc>
        <w:tc>
          <w:tcPr>
            <w:tcW w:w="6550" w:type="dxa"/>
            <w:vAlign w:val="center"/>
          </w:tcPr>
          <w:p>
            <w:pPr>
              <w:spacing w:after="0"/>
            </w:pPr>
            <w:r>
              <w:t xml:space="preserve">IN, OUT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/>
            </w:pPr>
            <w:r>
              <w:t xml:space="preserve">AllocationType</w:t>
            </w:r>
          </w:p>
        </w:tc>
        <w:tc>
          <w:tcPr>
            <w:tcW w:w="6550" w:type="dxa"/>
            <w:vAlign w:val="center"/>
          </w:tcPr>
          <w:p>
            <w:pPr>
              <w:spacing w:after="0"/>
            </w:pPr>
            <w:r>
              <w:t xml:space="preserve">PERCENT, FIXED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4.2 Models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900"/>
        <w:gridCol w:w="4300"/>
        <w:gridCol w:w="3150"/>
      </w:tblGrid>
      <w:tr>
        <w:tc>
          <w:tcPr>
            <w:tcW w:w="19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tcW w:w="43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w="31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Key fields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Account owner / login identity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email (unique), passwordHash, name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Account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real-world financial account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name, institution, type, currency (default MYR)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Bucket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purpose-based sub-division of an account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name, kind, priority, targetAmount, targetDate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SinkingFundItem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An annual/irregular cost saved for monthly, inside a SINKING_FUND bucket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annualCost, dueMonth, currentSaved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Goal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savings goal tracked inside a GOAL bucket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targetAmount, targetDate, currentAmount, rank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RecurringBill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recurring monthly bill tied to a BILLS bucket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amount, dueDay, active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Income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logged income event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date, amount, source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Transaction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ledger entry against an account (and optionally a bucket)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date, amount, direction (IN/OUT), category, note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AllocationRule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user-defined override for how much income a bucket should receive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type (PERCENT/FIXED), value, priorityOrder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CategoryRule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keyword rule used to auto-suggest a bucket for imported transactions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bucketId, keyword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BalanceSnapshot</w:t>
            </w:r>
          </w:p>
        </w:tc>
        <w:tc>
          <w:tcPr>
            <w:tcW w:w="4300" w:type="dxa"/>
            <w:vAlign w:val="center"/>
          </w:tcPr>
          <w:p>
            <w:pPr>
              <w:spacing w:after="0"/>
            </w:pPr>
            <w:r>
              <w:t xml:space="preserve">A point-in-time balance recorded against an account</w:t>
            </w:r>
          </w:p>
        </w:tc>
        <w:tc>
          <w:tcPr>
            <w:tcW w:w="3150" w:type="dxa"/>
            <w:vAlign w:val="center"/>
          </w:tcPr>
          <w:p>
            <w:pPr>
              <w:spacing w:after="0"/>
            </w:pPr>
            <w:r>
              <w:t xml:space="preserve">date, balance</w:t>
            </w:r>
          </w:p>
        </w:tc>
      </w:tr>
    </w:tbl>
    <w:p>
      <w:pPr/>
      <w:r>
        <w:t xml:space="preserve"/>
      </w:r>
    </w:p>
    <w:p>
      <w:pPr>
        <w:pStyle w:val="Caption"/>
      </w:pPr>
      <w:r>
        <w:t xml:space="preserve">Account and bucket balances are not stored directly — they are derived at read time by summing Transaction.amount (signed by direction) grouped by accountId / bucketId. See lib/finance.ts.</w:t>
      </w:r>
    </w:p>
    <w:p>
      <w:pPr>
        <w:pStyle w:val="Heading1"/>
      </w:pPr>
      <w:r>
        <w:t xml:space="preserve">5. Authentication &amp; Route Protection</w:t>
      </w:r>
    </w:p>
    <w:p>
      <w:pPr>
        <w:pStyle w:val="Bullet"/>
      </w:pPr>
      <w:r>
        <w:t xml:space="preserve">•	</w:t>
      </w:r>
      <w:r>
        <w:t xml:space="preserve">auth.ts configures NextAuth with a single Credentials provider. Its authorize() function looks up the user by email and compares the submitted password against </w:t>
      </w:r>
      <w:r>
        <w:rPr>
          <w:rFonts w:ascii="Consolas" w:hAnsi="Consolas" w:cs="Consolas"/>
          <w:sz w:val="19"/>
          <w:color w:val="AD1457"/>
        </w:rPr>
        <w:t xml:space="preserve">passwordHash</w:t>
      </w:r>
      <w:r>
        <w:t xml:space="preserve"> with bcrypt.compare.</w:t>
      </w:r>
    </w:p>
    <w:p>
      <w:pPr>
        <w:pStyle w:val="Bullet"/>
      </w:pPr>
      <w:r>
        <w:t xml:space="preserve">•	</w:t>
      </w:r>
      <w:r>
        <w:t xml:space="preserve">Sessions use the “jwt” strategy. The jwt callback stashes the user id on the token, and the session callback copies it onto session.user.id (typed via types/next-auth.d.ts).</w:t>
      </w:r>
    </w:p>
    <w:p>
      <w:pPr>
        <w:pStyle w:val="Bullet"/>
      </w:pPr>
      <w:r>
        <w:t xml:space="preserve">•	</w:t>
      </w:r>
      <w:r>
        <w:t xml:space="preserve">The authorized callback centralizes route protection: it redirects an already-logged-in user away from /login and /signup, and blocks unauthenticated access to any /dashboard route.</w:t>
      </w:r>
    </w:p>
    <w:p>
      <w:pPr>
        <w:pStyle w:val="Bullet"/>
      </w:pPr>
      <w:r>
        <w:t xml:space="preserve">•	</w:t>
      </w:r>
      <w:r>
        <w:t xml:space="preserve">proxy.ts re-exports </w:t>
      </w:r>
      <w:r>
        <w:rPr>
          <w:rFonts w:ascii="Consolas" w:hAnsi="Consolas" w:cs="Consolas"/>
          <w:sz w:val="19"/>
          <w:color w:val="AD1457"/>
        </w:rPr>
        <w:t xml:space="preserve">auth</w:t>
      </w:r>
      <w:r>
        <w:t xml:space="preserve"> as the Next.js “proxy” (middleware) entry point, matched against every route except /api/*, /_next/static, /_next/image and /favicon.ico.</w:t>
      </w:r>
    </w:p>
    <w:p>
      <w:pPr>
        <w:pStyle w:val="Bullet"/>
      </w:pPr>
      <w:r>
        <w:t xml:space="preserve">•	</w:t>
      </w:r>
      <w:r>
        <w:t xml:space="preserve">API routes are not covered by that matcher, so each one independently calls </w:t>
      </w:r>
      <w:r>
        <w:rPr>
          <w:rFonts w:ascii="Consolas" w:hAnsi="Consolas" w:cs="Consolas"/>
          <w:sz w:val="19"/>
          <w:color w:val="AD1457"/>
        </w:rPr>
        <w:t xml:space="preserve">requireUserId()</w:t>
      </w:r>
      <w:r>
        <w:t xml:space="preserve"> (lib/session.ts) and returns 401 Unauthorized when there is no session.</w:t>
      </w:r>
    </w:p>
    <w:p>
      <w:pPr>
        <w:pStyle w:val="Bullet"/>
      </w:pPr>
      <w:r>
        <w:t xml:space="preserve">•	</w:t>
      </w:r>
      <w:r>
        <w:t xml:space="preserve">Passwords are hashed with bcrypt (cost factor 10) in /api/signup before being stored, and are never returned in plaintext.</w:t>
      </w:r>
    </w:p>
    <w:p>
      <w:pPr>
        <w:pStyle w:val="Bullet"/>
      </w:pPr>
      <w:r>
        <w:t xml:space="preserve">•	</w:t>
      </w:r>
      <w:r>
        <w:t xml:space="preserve">NextAuth's JWT signing key comes from the </w:t>
      </w:r>
      <w:r>
        <w:rPr>
          <w:rFonts w:ascii="Consolas" w:hAnsi="Consolas" w:cs="Consolas"/>
          <w:sz w:val="19"/>
          <w:color w:val="AD1457"/>
        </w:rPr>
        <w:t xml:space="preserve">AUTH_SECRET</w:t>
      </w:r>
      <w:r>
        <w:t xml:space="preserve"> environment variable (see section 11).</w:t>
      </w:r>
    </w:p>
    <w:p>
      <w:pPr>
        <w:pStyle w:val="Heading1"/>
      </w:pPr>
      <w:r>
        <w:t xml:space="preserve">6. Onboarding</w:t>
      </w:r>
    </w:p>
    <w:p>
      <w:pPr/>
      <w:r>
        <w:t xml:space="preserve">POST /api/signup validates name/email/password with Zod, rejects duplicate emails (409), hashes the password, creates the User record, and immediately calls seedDefaultAccounts(userId) (lib/onboarding.ts) so a new user's dashboard is populated right away.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900"/>
        <w:gridCol w:w="2400"/>
        <w:gridCol w:w="2400"/>
        <w:gridCol w:w="1650"/>
      </w:tblGrid>
      <w:tr>
        <w:tc>
          <w:tcPr>
            <w:tcW w:w="29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Account (type)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Bucket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Kind</w:t>
            </w:r>
          </w:p>
        </w:tc>
        <w:tc>
          <w:tcPr>
            <w:tcW w:w="16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Maybank (CHECKING)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Need to Pay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BILLS</w:t>
            </w:r>
          </w:p>
        </w:tc>
        <w:tc>
          <w:tcPr>
            <w:tcW w:w="1650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Versa/Moomo (INVESTMENT)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Sinking Fund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SINKING_FUND</w:t>
            </w:r>
          </w:p>
        </w:tc>
        <w:tc>
          <w:tcPr>
            <w:tcW w:w="1650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High-Yield Savings (SAVINGS)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Emergency Fund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EMERGENCY_FUND</w:t>
            </w:r>
          </w:p>
        </w:tc>
        <w:tc>
          <w:tcPr>
            <w:tcW w:w="1650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Maybank (CHECKING)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Daily Use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DAILY_USE</w:t>
            </w:r>
          </w:p>
        </w:tc>
        <w:tc>
          <w:tcPr>
            <w:tcW w:w="1650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Versa/Moomo (INVESTMENT)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Goals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GOAL</w:t>
            </w:r>
          </w:p>
        </w:tc>
        <w:tc>
          <w:tcPr>
            <w:tcW w:w="1650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Maybank (CHECKING)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Entertainment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ENTERTAINMENT</w:t>
            </w:r>
          </w:p>
        </w:tc>
        <w:tc>
          <w:tcPr>
            <w:tcW w:w="1650" w:type="dxa"/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</w:tr>
    </w:tbl>
    <w:p>
      <w:pPr/>
      <w:r>
        <w:t xml:space="preserve"/>
      </w:r>
    </w:p>
    <w:p>
      <w:pPr/>
      <w:r>
        <w:t xml:space="preserve">Wedding Fund and Wishlist are no longer separate top-level buckets — individual savings goals of that kind now live as Goal records inside a single “Goals” bucket.</w:t>
      </w:r>
    </w:p>
    <w:p>
      <w:pPr/>
      <w:r>
        <w:t xml:space="preserve">Onboarding also seeds a starter set of </w:t>
      </w:r>
      <w:r>
        <w:rPr>
          <w:rFonts w:ascii="Consolas" w:hAnsi="Consolas" w:cs="Consolas"/>
          <w:sz w:val="19"/>
          <w:color w:val="AD1457"/>
        </w:rPr>
        <w:t xml:space="preserve">CategoryRule</w:t>
      </w:r>
      <w:r>
        <w:t xml:space="preserve"> keyword rules so statement import has something to auto-categorize against immediately: grocery/food/mart-style keywords → Daily Use, streaming/cinema/gaming keywords → Entertainment, and utility/rent/insurance keywords → Need to Pay.</w:t>
      </w:r>
    </w:p>
    <w:p>
      <w:pPr/>
      <w:r>
        <w:t xml:space="preserve">After a successful signup, the client immediately signs the user in and redirects to /dashboard.</w:t>
      </w:r>
    </w:p>
    <w:p>
      <w:pPr>
        <w:pStyle w:val="Heading1"/>
      </w:pPr>
      <w:r>
        <w:t xml:space="preserve">7. Allocation Engine</w:t>
      </w:r>
    </w:p>
    <w:p>
      <w:pPr/>
      <w:r>
        <w:rPr>
          <w:rFonts w:ascii="Consolas" w:hAnsi="Consolas" w:cs="Consolas"/>
          <w:sz w:val="19"/>
          <w:color w:val="AD1457"/>
        </w:rPr>
        <w:t xml:space="preserve">computeAllocationSuggestion(userId, options?)</w:t>
      </w:r>
      <w:r>
        <w:t xml:space="preserve"> in lib/allocation-engine.ts is the core business logic. It answers “given this month's income, how should it be split across my buckets?” by running a fixed five-step waterfall, each step reducing a running ‘remaining’ balance:</w:t>
      </w:r>
    </w:p>
    <w:p>
      <w:pPr>
        <w:pStyle w:val="Bullet"/>
      </w:pPr>
      <w:r>
        <w:t xml:space="preserve">1.	</w:t>
      </w:r>
      <w:r>
        <w:rPr>
          <w:b/>
        </w:rPr>
        <w:t xml:space="preserve">Bills first</w:t>
      </w:r>
      <w:r>
        <w:t xml:space="preserve"> — sums all active RecurringBill amounts under the BILLS bucket and allocates up to the remaining income; flags a warning if income can't fully cover them.</w:t>
      </w:r>
    </w:p>
    <w:p>
      <w:pPr>
        <w:pStyle w:val="Bullet"/>
      </w:pPr>
      <w:r>
        <w:t xml:space="preserve">2.	</w:t>
      </w:r>
      <w:r>
        <w:rPr>
          <w:b/>
        </w:rPr>
        <w:t xml:space="preserve">Sinking fund top-up</w:t>
      </w:r>
      <w:r>
        <w:t xml:space="preserve"> — for each SinkingFundItem not yet fully funded, requires annualCost / 12 per month; flags items due within 2 months that are still underfunded.</w:t>
      </w:r>
    </w:p>
    <w:p>
      <w:pPr>
        <w:pStyle w:val="Bullet"/>
      </w:pPr>
      <w:r>
        <w:t xml:space="preserve">3.	</w:t>
      </w:r>
      <w:r>
        <w:rPr>
          <w:b/>
        </w:rPr>
        <w:t xml:space="preserve">Emergency fund</w:t>
      </w:r>
      <w:r>
        <w:t xml:space="preserve"> — target is the bucket's explicit targetAmount, or (average monthly DAILY_USE + BILLS spend over the trailing 3 months) × a configurable number of months (default 4.5, the midpoint of the recommended 3–6 months). Tops up by the smaller of the remaining gap or 10% of income; emits an info flag once the target is reached.</w:t>
      </w:r>
    </w:p>
    <w:p>
      <w:pPr>
        <w:pStyle w:val="Bullet"/>
      </w:pPr>
      <w:r>
        <w:t xml:space="preserve">4.	</w:t>
      </w:r>
      <w:r>
        <w:rPr>
          <w:b/>
        </w:rPr>
        <w:t xml:space="preserve">Daily use</w:t>
      </w:r>
      <w:r>
        <w:t xml:space="preserve"> — uses a matching AllocationRule (PERCENT or FIXED) if one exists, otherwise defaults to 20% of income.</w:t>
      </w:r>
    </w:p>
    <w:p>
      <w:pPr>
        <w:pStyle w:val="Bullet"/>
      </w:pPr>
      <w:r>
        <w:t xml:space="preserve">5.	</w:t>
      </w:r>
      <w:r>
        <w:rPr>
          <w:b/>
        </w:rPr>
        <w:t xml:space="preserve">Remainder split</w:t>
      </w:r>
      <w:r>
        <w:t xml:space="preserve"> — whatever income is left is divided across all ENTERTAINMENT and GOAL buckets, weighted by any PERCENT AllocationRule (equal split by default).</w:t>
      </w:r>
    </w:p>
    <w:p>
      <w:pPr/>
      <w:r>
        <w:t xml:space="preserve">If total obligations exceed income, the remaining balance goes negative and a warning flag reports the shortfall.</w:t>
      </w:r>
    </w:p>
    <w:p>
      <w:pPr/>
      <w:r>
        <w:t xml:space="preserve">The function returns </w:t>
      </w:r>
      <w:r>
        <w:rPr>
          <w:rFonts w:ascii="Consolas" w:hAnsi="Consolas" w:cs="Consolas"/>
          <w:sz w:val="19"/>
          <w:color w:val="AD1457"/>
        </w:rPr>
        <w:t xml:space="preserve">{ income, lines[], totalAllocated, unallocated, flags[] }</w:t>
      </w:r>
      <w:r>
        <w:t xml:space="preserve"> — lines are keyed by bucket with an amount and a human-readable reason; flags are severity “warning” | “info” messages surfaced in the dashboard UI.</w:t>
      </w:r>
    </w:p>
    <w:p>
      <w:pPr/>
      <w:r>
        <w:t xml:space="preserve">Income defaults to the most recently logged Income record if no incomeAmount override is supplied (used by the “what-if” income query parameter on the API route).</w:t>
      </w:r>
    </w:p>
    <w:p>
      <w:pPr>
        <w:pStyle w:val="Heading1"/>
      </w:pPr>
      <w:r>
        <w:t xml:space="preserve">8. Statement Import &amp; Auto-Categorization</w:t>
      </w:r>
    </w:p>
    <w:p>
      <w:pPr/>
      <w:r>
        <w:t xml:space="preserve">The /dashboard/import page lets a user bulk-load transactions from a bank statement instead of entering them one at a time. Everything happens in-memory on the server for the duration of the request — uploaded files, extracted text, and any PDF password are never written to disk or logged.</w:t>
      </w:r>
    </w:p>
    <w:p>
      <w:pPr>
        <w:pStyle w:val="Heading2"/>
      </w:pPr>
      <w:r>
        <w:t xml:space="preserve">8.1 CSV import</w:t>
      </w:r>
    </w:p>
    <w:p>
      <w:pPr/>
      <w:r>
        <w:t xml:space="preserve">The client reads the file as text and posts it to </w:t>
      </w:r>
      <w:r>
        <w:rPr>
          <w:rFonts w:ascii="Consolas" w:hAnsi="Consolas" w:cs="Consolas"/>
          <w:sz w:val="19"/>
          <w:color w:val="AD1457"/>
        </w:rPr>
        <w:t xml:space="preserve">POST /api/import/preview</w:t>
      </w:r>
      <w:r>
        <w:t xml:space="preserve">, which runs it through lib/csv.ts: a hand-rolled RFC-4180-style CSV parser followed by column detection. It recognizes common header synonyms (“Date”/“Transaction Date”, “Description”/“Details”/“Narration”, “Amount”, or separate “Debit”/“Credit” columns) and returns an error describing what it couldn't find if detection fails.</w:t>
      </w:r>
    </w:p>
    <w:p>
      <w:pPr>
        <w:pStyle w:val="Heading2"/>
      </w:pPr>
      <w:r>
        <w:t xml:space="preserve">8.2 PDF import</w:t>
      </w:r>
    </w:p>
    <w:p>
      <w:pPr/>
      <w:r>
        <w:t xml:space="preserve">PDF files go to </w:t>
      </w:r>
      <w:r>
        <w:rPr>
          <w:rFonts w:ascii="Consolas" w:hAnsi="Consolas" w:cs="Consolas"/>
          <w:sz w:val="19"/>
          <w:color w:val="AD1457"/>
        </w:rPr>
        <w:t xml:space="preserve">POST /api/import/pdf-preview</w:t>
      </w:r>
      <w:r>
        <w:t xml:space="preserve">, which extracts the text layer with unpdf (lib/pdf.ts), prompting for a password if the PDF is encrypted (needs_password / incorrect_password responses). The extracted text is then parsed by lib/pdf-statement.ts using two strategies, tried in order:</w:t>
      </w:r>
    </w:p>
    <w:p>
      <w:pPr>
        <w:pStyle w:val="Bullet"/>
      </w:pPr>
      <w:r>
        <w:t xml:space="preserve">•	</w:t>
      </w:r>
      <w:r>
        <w:rPr>
          <w:b/>
        </w:rPr>
        <w:t xml:space="preserve">Single-line</w:t>
      </w:r>
      <w:r>
        <w:t xml:space="preserve"> — one transaction per line in the form “DATE  DESCRIPTION  AMOUNT”, with optional RM/MYR prefix and DR/CR suffix.</w:t>
      </w:r>
    </w:p>
    <w:p>
      <w:pPr>
        <w:pStyle w:val="Bullet"/>
      </w:pPr>
      <w:r>
        <w:t xml:space="preserve">•	</w:t>
      </w:r>
      <w:r>
        <w:rPr>
          <w:b/>
        </w:rPr>
        <w:t xml:space="preserve">Block</w:t>
      </w:r>
      <w:r>
        <w:t xml:space="preserve"> — handles statements (e.g. Maybank-style) where a transaction spans several stacked lines: a date+type header line, a name/amount/running-balance line, and optional trailing description lines. This strategy also filters out repeated header/footer boilerplate and closing-summary sections (ledger balance, total debit/credit, etc.) so they aren't mistaken for transactions.</w:t>
      </w:r>
    </w:p>
    <w:p>
      <w:pPr/>
      <w:r>
        <w:t xml:space="preserve">A statement year field in the UI fills in the year for statements that print dates without one (e.g. “03/07”).</w:t>
      </w:r>
    </w:p>
    <w:p>
      <w:pPr>
        <w:pStyle w:val="Heading2"/>
      </w:pPr>
      <w:r>
        <w:t xml:space="preserve">8.3 AI-assisted parsing (optional fallback)</w:t>
      </w:r>
    </w:p>
    <w:p>
      <w:pPr/>
      <w:r>
        <w:t xml:space="preserve">If local parsing misses transactions or the user wants a second pass, clicking “Parse with AI” sends the already-extracted statement text to </w:t>
      </w:r>
      <w:r>
        <w:rPr>
          <w:rFonts w:ascii="Consolas" w:hAnsi="Consolas" w:cs="Consolas"/>
          <w:sz w:val="19"/>
          <w:color w:val="AD1457"/>
        </w:rPr>
        <w:t xml:space="preserve">POST /api/import/ai-parse</w:t>
      </w:r>
      <w:r>
        <w:t xml:space="preserve">, which calls Google's Gemini API (lib/ai-parse.ts, model </w:t>
      </w:r>
      <w:r>
        <w:rPr>
          <w:rFonts w:ascii="Consolas" w:hAnsi="Consolas" w:cs="Consolas"/>
          <w:sz w:val="19"/>
          <w:color w:val="AD1457"/>
        </w:rPr>
        <w:t xml:space="preserve">gemini-flash-latest</w:t>
      </w:r>
      <w:r>
        <w:t xml:space="preserve">) with a JSON schema requesting date/description/amount/direction and a best-matching bucket name per transaction. This is the only point in the import flow where statement content leaves the server; it only runs when explicitly triggered and requires a </w:t>
      </w:r>
      <w:r>
        <w:rPr>
          <w:rFonts w:ascii="Consolas" w:hAnsi="Consolas" w:cs="Consolas"/>
          <w:sz w:val="19"/>
          <w:color w:val="AD1457"/>
        </w:rPr>
        <w:t xml:space="preserve">GEMINI_API_KEY</w:t>
      </w:r>
      <w:r>
        <w:t xml:space="preserve"> to be configured.</w:t>
      </w:r>
    </w:p>
    <w:p>
      <w:pPr>
        <w:pStyle w:val="Heading2"/>
      </w:pPr>
      <w:r>
        <w:t xml:space="preserve">8.4 Auto-categorization &amp; commit</w:t>
      </w:r>
    </w:p>
    <w:p>
      <w:pPr/>
      <w:r>
        <w:t xml:space="preserve">Both the CSV and PDF preview endpoints run each parsed row's description through </w:t>
      </w:r>
      <w:r>
        <w:rPr>
          <w:rFonts w:ascii="Consolas" w:hAnsi="Consolas" w:cs="Consolas"/>
          <w:sz w:val="19"/>
          <w:color w:val="AD1457"/>
        </w:rPr>
        <w:t xml:space="preserve">matchBucket()</w:t>
      </w:r>
      <w:r>
        <w:t xml:space="preserve"> (lib/categorize.ts), which does case-insensitive substring matching against the user's CategoryRule keywords and picks the longest matching keyword as the best match. The import UI shows every row with its suggested bucket pre-selected, lets the user edit direction/bucket or exclude rows, then posts the accepted rows to </w:t>
      </w:r>
      <w:r>
        <w:rPr>
          <w:rFonts w:ascii="Consolas" w:hAnsi="Consolas" w:cs="Consolas"/>
          <w:sz w:val="19"/>
          <w:color w:val="AD1457"/>
        </w:rPr>
        <w:t xml:space="preserve">POST /api/import/commit</w:t>
      </w:r>
      <w:r>
        <w:t xml:space="preserve"> to create them as Transaction records against a chosen account.</w:t>
      </w:r>
    </w:p>
    <w:p>
      <w:pPr/>
      <w:r>
        <w:t xml:space="preserve">The same import page includes a category-rule manager (RulesManager) for adding or deleting keyword → bucket rules used by future imports.</w:t>
      </w:r>
    </w:p>
    <w:p>
      <w:pPr>
        <w:pStyle w:val="Heading1"/>
      </w:pPr>
      <w:r>
        <w:t xml:space="preserve">9. Analytics</w:t>
      </w:r>
    </w:p>
    <w:p>
      <w:pPr/>
      <w:r>
        <w:t xml:space="preserve">The /dashboard/analytics page (lib/analytics.ts) derives three trends purely from the existing Transaction and Income ledger — there's no separate stored balance or reporting table:</w:t>
      </w:r>
    </w:p>
    <w:p>
      <w:pPr>
        <w:pStyle w:val="Bullet"/>
      </w:pPr>
      <w:r>
        <w:t xml:space="preserve">•	</w:t>
      </w:r>
      <w:r>
        <w:rPr>
          <w:b/>
        </w:rPr>
        <w:t xml:space="preserve">Spending by bucket</w:t>
      </w:r>
      <w:r>
        <w:t xml:space="preserve"> (getMonthlySpendingByBucket) — total OUT transactions per bucket, grouped by calendar month, for the trailing N months (default 6); rendered as a stacked bar chart.</w:t>
      </w:r>
    </w:p>
    <w:p>
      <w:pPr>
        <w:pStyle w:val="Bullet"/>
      </w:pPr>
      <w:r>
        <w:t xml:space="preserve">•	</w:t>
      </w:r>
      <w:r>
        <w:rPr>
          <w:b/>
        </w:rPr>
        <w:t xml:space="preserve">Net worth trend</w:t>
      </w:r>
      <w:r>
        <w:t xml:space="preserve"> (getNetWorthTrend) — each account's running transaction balance at every month-end, plus a combined total line.</w:t>
      </w:r>
    </w:p>
    <w:p>
      <w:pPr>
        <w:pStyle w:val="Bullet"/>
      </w:pPr>
      <w:r>
        <w:t xml:space="preserve">•	</w:t>
      </w:r>
      <w:r>
        <w:rPr>
          <w:b/>
        </w:rPr>
        <w:t xml:space="preserve">Savings rate</w:t>
      </w:r>
      <w:r>
        <w:t xml:space="preserve"> (getSavingsRateTrend) — net money moved into Emergency Fund, Sinking Fund, and Goal buckets each month, divided by that month's logged income; a withdrawal from those buckets reduces the same month's figure.</w:t>
      </w:r>
    </w:p>
    <w:p>
      <w:pPr/>
      <w:r>
        <w:t xml:space="preserve">All three use UTC calendar-month boundaries (not the server's local timezone) so results don't shift depending on where the app is deployed. Charts are rendered client-side with recharts (AnalyticsCharts.tsx), colored via lib/palette.ts's DaisyUI-token mapping.</w:t>
      </w:r>
    </w:p>
    <w:p>
      <w:pPr>
        <w:pStyle w:val="Heading1"/>
      </w:pPr>
      <w:r>
        <w:t xml:space="preserve">10. API Reference</w:t>
      </w:r>
    </w:p>
    <w:p>
      <w:pPr/>
      <w:r>
        <w:t xml:space="preserve">All routes below live under app/api/**/route.ts and follow the Next.js App Router route-handler convention. Every route except /api/signup and /api/auth/[...nextauth] requires an authenticated session (checked via requireUserId()) and returns 401 Unauthorized otherwise. Request bodies are validated with Zod; invalid input returns 400 with a field-keyed error object.</w:t>
      </w:r>
    </w:p>
    <w:p>
      <w:pPr>
        <w:pStyle w:val="Heading2"/>
      </w:pPr>
      <w:r>
        <w:t xml:space="preserve">10.1 Core resources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100"/>
        <w:gridCol w:w="2500"/>
        <w:gridCol w:w="3700"/>
        <w:gridCol w:w="2050"/>
      </w:tblGrid>
      <w:tr>
        <w:tc>
          <w:tcPr>
            <w:tcW w:w="11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5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37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w="20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/api/signup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Create a user account and seed default accounts/buckets/category rules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409 if email already registered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GET/POST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/api/auth/[...nextauth]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NextAuth session endpoints (sign-in, sign-out, session, CSRF, callback)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Handled entirely by NextAuth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/api/buckets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List the user's buckets with sinking-fund items, goals, active bills, and computed balance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/api/buckets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Create a bucket under one of the user's accounts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accountId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/api/transactions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List transactions, newest first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Query: limit (default 50, max 200), bucketId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/api/transactions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Log a transaction (income or spend) against an account and optional bucket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account/bucket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/api/transactions/[id]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Delete a transaction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/api/bills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List recurring bills, ordered by due day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/api/bills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Create a recurring bill under a bucket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/api/bills/[id]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Delete a recurring bill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/api/income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List the 24 most recent income entries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/api/income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Log an income event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/api/income/[id]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Delete an income entry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/api/sinking-fund-items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List sinking-fund items, ordered by due month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/api/sinking-fund-items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Create a sinking-fund item under a bucket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PATCH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/api/sinking-fund-items/[id]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Update currentSaved for an item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/api/sinking-fund-items/[id]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Delete a sinking-fund item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/api/goals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List goals, ordered by rank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/api/goals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Create a goal under a bucket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PATCH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/api/goals/[id]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Update currentAmount for a goal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/api/goals/[id]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Delete a goal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/api/allocation-suggestion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Compute the current suggested allocation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Query: income (override; else latest Income record)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10.2 Category rules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100"/>
        <w:gridCol w:w="2500"/>
        <w:gridCol w:w="3700"/>
        <w:gridCol w:w="2050"/>
      </w:tblGrid>
      <w:tr>
        <w:tc>
          <w:tcPr>
            <w:tcW w:w="11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5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37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w="20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/api/category-rules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List the user's keyword → bucket rules, ordered by keyword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/api/category-rules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Create a rule (keyword lowercased on save)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bucketId not owned by user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/api/category-rules/[id]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</w:pPr>
            <w:r>
              <w:t xml:space="preserve">Delete a rule</w:t>
            </w:r>
          </w:p>
        </w:tc>
        <w:tc>
          <w:tcPr>
            <w:tcW w:w="2050" w:type="dxa"/>
            <w:vAlign w:val="center"/>
          </w:tcPr>
          <w:p>
            <w:pPr>
              <w:spacing w:after="0"/>
            </w:pPr>
            <w:r>
              <w:t xml:space="preserve">404 if not owned by user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10.3 Statement import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100"/>
        <w:gridCol w:w="2200"/>
        <w:gridCol w:w="3400"/>
        <w:gridCol w:w="2650"/>
      </w:tblGrid>
      <w:tr>
        <w:tc>
          <w:tcPr>
            <w:tcW w:w="11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2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34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w="26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t xml:space="preserve">/api/import/preview</w:t>
            </w:r>
          </w:p>
        </w:tc>
        <w:tc>
          <w:tcPr>
            <w:tcW w:w="3400" w:type="dxa"/>
            <w:vAlign w:val="center"/>
          </w:tcPr>
          <w:p>
            <w:pPr>
              <w:spacing w:after="0"/>
            </w:pPr>
            <w:r>
              <w:t xml:space="preserve">Parse an uploaded CSV statement and suggest buckets</w:t>
            </w:r>
          </w:p>
        </w:tc>
        <w:tc>
          <w:tcPr>
            <w:tcW w:w="2650" w:type="dxa"/>
            <w:vAlign w:val="center"/>
          </w:tcPr>
          <w:p>
            <w:pPr>
              <w:spacing w:after="0"/>
            </w:pPr>
            <w:r>
              <w:t xml:space="preserve">Body: { csv: string }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t xml:space="preserve">/api/import/pdf-preview</w:t>
            </w:r>
          </w:p>
        </w:tc>
        <w:tc>
          <w:tcPr>
            <w:tcW w:w="3400" w:type="dxa"/>
            <w:vAlign w:val="center"/>
          </w:tcPr>
          <w:p>
            <w:pPr>
              <w:spacing w:after="0"/>
            </w:pPr>
            <w:r>
              <w:t xml:space="preserve">Extract + parse an uploaded PDF statement and suggest buckets</w:t>
            </w:r>
          </w:p>
        </w:tc>
        <w:tc>
          <w:tcPr>
            <w:tcW w:w="2650" w:type="dxa"/>
            <w:vAlign w:val="center"/>
          </w:tcPr>
          <w:p>
            <w:pPr>
              <w:spacing w:after="0"/>
            </w:pPr>
            <w:r>
              <w:t xml:space="preserve">multipart/form-data: file, optional password, year; max 15MB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t xml:space="preserve">/api/import/ai-parse</w:t>
            </w:r>
          </w:p>
        </w:tc>
        <w:tc>
          <w:tcPr>
            <w:tcW w:w="3400" w:type="dxa"/>
            <w:vAlign w:val="center"/>
          </w:tcPr>
          <w:p>
            <w:pPr>
              <w:spacing w:after="0"/>
            </w:pPr>
            <w:r>
              <w:t xml:space="preserve">Re-parse previously extracted statement text with Gemini</w:t>
            </w:r>
          </w:p>
        </w:tc>
        <w:tc>
          <w:tcPr>
            <w:tcW w:w="2650" w:type="dxa"/>
            <w:vAlign w:val="center"/>
          </w:tcPr>
          <w:p>
            <w:pPr>
              <w:spacing w:after="0"/>
            </w:pPr>
            <w:r>
              <w:t xml:space="preserve">Body: { text: string }; requires GEMINI_API_KEY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t xml:space="preserve">/api/import/commit</w:t>
            </w:r>
          </w:p>
        </w:tc>
        <w:tc>
          <w:tcPr>
            <w:tcW w:w="3400" w:type="dxa"/>
            <w:vAlign w:val="center"/>
          </w:tcPr>
          <w:p>
            <w:pPr>
              <w:spacing w:after="0"/>
            </w:pPr>
            <w:r>
              <w:t xml:space="preserve">Create Transaction records from accepted, reviewed rows</w:t>
            </w:r>
          </w:p>
        </w:tc>
        <w:tc>
          <w:tcPr>
            <w:tcW w:w="2650" w:type="dxa"/>
            <w:vAlign w:val="center"/>
          </w:tcPr>
          <w:p>
            <w:pPr>
              <w:spacing w:after="0"/>
            </w:pPr>
            <w:r>
              <w:t xml:space="preserve">Body: { accountId, rows: [...] }; validates every bucketId is owned by the user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11. Dashboard &amp; UI Components</w:t>
      </w:r>
    </w:p>
    <w:p>
      <w:pPr/>
      <w:r>
        <w:t xml:space="preserve">All dashboard UI lives under app/dashboard/. The interface is built on DaisyUI's “cupcake” theme (components like card, btn, badge, alert, modal, progress) with a handful of shadcn/ui primitives; per-bucket color is assigned by index and mapped to DaisyUI theme roles (primary, secondary, accent, ...) in lib/palette.ts.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600"/>
        <w:gridCol w:w="5750"/>
      </w:tblGrid>
      <w:tr>
        <w:tc>
          <w:tcPr>
            <w:tcW w:w="36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57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page.tsx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Server component: loads the session, accounts, buckets (+ balances, recent transactions), recent income, and the allocation suggestion, then renders the page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AllocationPanel.tsx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Renders the suggested split as a bar list with per-bucket reasons and warning/info alert banners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BucketCard.tsx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Renders one bucket: balance, target progress bar, kind-specific item list (sinking-fund items, goals, or bills), and a recent-transaction log for other kinds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QuickAdd.tsx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Client component with two forms (log income, log transaction) plus a recent-income list with delete; POSTs to the API and router.refresh()es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AddBillForm.tsx / AddGoalForm.tsx / AddSinkingFundItemForm.tsx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Modal-based forms for adding a recurring bill, goal, or sinking-fund item to a bucket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Modal.tsx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Thin wrapper around the native &lt;dialog&gt; element used by the Add*Form components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ProgressUpdateControl.tsx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Inline number input + Save button that PATCHes currentSaved/currentAmount for a goal or sinking-fund item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DeleteButton.tsx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Reusable confirm-then-DELETE icon button used throughout bucket cards, income list, and category rules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ProgressBar.tsx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Small presentational progress-bar component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SignOutButton.tsx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Calls NextAuth signOut()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analytics/page.tsx + AnalyticsCharts.tsx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Server page loading the three analytics trends; client component rendering them with recharts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t xml:space="preserve">import/page.tsx + ImportClient.tsx + RulesManager.tsx</w:t>
            </w:r>
          </w:p>
        </w:tc>
        <w:tc>
          <w:tcPr>
            <w:tcW w:w="5750" w:type="dxa"/>
            <w:vAlign w:val="center"/>
          </w:tcPr>
          <w:p>
            <w:pPr>
              <w:spacing w:after="0"/>
            </w:pPr>
            <w:r>
              <w:t xml:space="preserve">Server page for statement import; client components for the upload/preview/commit flow and category-rule management</w:t>
            </w:r>
          </w:p>
        </w:tc>
      </w:tr>
    </w:tbl>
    <w:p>
      <w:pPr/>
      <w:r>
        <w:t xml:space="preserve"/>
      </w:r>
    </w:p>
    <w:p>
      <w:pPr/>
      <w:r>
        <w:rPr>
          <w:rFonts w:ascii="Consolas" w:hAnsi="Consolas" w:cs="Consolas"/>
          <w:sz w:val="19"/>
          <w:color w:val="AD1457"/>
        </w:rPr>
        <w:t xml:space="preserve">lib/format.ts</w:t>
      </w:r>
      <w:r>
        <w:t xml:space="preserve"> formats currency with Intl.NumberFormat("en-MY", { currency: "MYR" }), month numbers to short names, and now also computes days-until-due for recurring bills (daysUntilDueDay / formatDueIn), shown as a badge on each bill.</w:t>
      </w:r>
    </w:p>
    <w:p>
      <w:pPr>
        <w:pStyle w:val="Heading1"/>
      </w:pPr>
      <w:r>
        <w:t xml:space="preserve">12. Local Development</w:t>
      </w:r>
    </w:p>
    <w:p>
      <w:pPr>
        <w:pStyle w:val="Bullet"/>
      </w:pPr>
      <w:r>
        <w:t xml:space="preserve">1.	</w:t>
      </w:r>
      <w:r>
        <w:t xml:space="preserve">Install dependencies: npm install</w:t>
      </w:r>
    </w:p>
    <w:p>
      <w:pPr>
        <w:pStyle w:val="Bullet"/>
      </w:pPr>
      <w:r>
        <w:t xml:space="preserve">2.	</w:t>
      </w:r>
      <w:r>
        <w:t xml:space="preserve">Configure environment variables (see table below) in .env</w:t>
      </w:r>
    </w:p>
    <w:p>
      <w:pPr>
        <w:pStyle w:val="Bullet"/>
      </w:pPr>
      <w:r>
        <w:t xml:space="preserve">3.	</w:t>
      </w:r>
      <w:r>
        <w:t xml:space="preserve">Apply the Prisma schema to the database: npx prisma db push (or npx prisma migrate dev if using tracked migrations)</w:t>
      </w:r>
    </w:p>
    <w:p>
      <w:pPr>
        <w:pStyle w:val="Bullet"/>
      </w:pPr>
      <w:r>
        <w:t xml:space="preserve">4.	</w:t>
      </w:r>
      <w:r>
        <w:t xml:space="preserve">Start the dev server: npm run dev, then open http://localhost:3000</w:t>
      </w:r>
    </w:p>
    <w:p>
      <w:pPr>
        <w:pStyle w:val="Bullet"/>
      </w:pPr>
      <w:r>
        <w:t xml:space="preserve">5.	</w:t>
      </w:r>
      <w:r>
        <w:t xml:space="preserve">Sign up for a new account at /signup — this seeds the default accounts, buckets, and category rules described in section 6</w:t>
      </w:r>
    </w:p>
    <w:p>
      <w:pPr/>
      <w:r>
        <w:rPr>
          <w:b/>
        </w:rPr>
        <w:t xml:space="preserve">Other scripts: </w:t>
      </w:r>
      <w:r>
        <w:t xml:space="preserve">npm run build (production build), npm run start (run the production build), npm run lint (ESLint).</w:t>
      </w:r>
    </w:p>
    <w:p>
      <w:pPr>
        <w:pStyle w:val="Heading2"/>
      </w:pPr>
      <w:r>
        <w:t xml:space="preserve">12.1 Environment variables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400"/>
        <w:gridCol w:w="1500"/>
        <w:gridCol w:w="5450"/>
      </w:tblGrid>
      <w:tr>
        <w:tc>
          <w:tcPr>
            <w:tcW w:w="24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Variable</w:t>
            </w:r>
          </w:p>
        </w:tc>
        <w:tc>
          <w:tcPr>
            <w:tcW w:w="150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Required</w:t>
            </w:r>
          </w:p>
        </w:tc>
        <w:tc>
          <w:tcPr>
            <w:tcW w:w="5450" w:type="dxa"/>
            <w:shd w:val="clear" w:color="auto" w:fill="1F3864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DATABASE_URL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5450" w:type="dxa"/>
            <w:vAlign w:val="center"/>
          </w:tcPr>
          <w:p>
            <w:pPr>
              <w:spacing w:after="0"/>
            </w:pPr>
            <w:r>
              <w:t xml:space="preserve">PostgreSQL connection string used by the Prisma pg adapter (lib/prisma.ts)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AUTH_SECRET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5450" w:type="dxa"/>
            <w:vAlign w:val="center"/>
          </w:tcPr>
          <w:p>
            <w:pPr>
              <w:spacing w:after="0"/>
            </w:pPr>
            <w:r>
              <w:t xml:space="preserve">Signing key NextAuth uses for JWT sessions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/>
            </w:pPr>
            <w:r>
              <w:t xml:space="preserve">GEMINI_API_KEY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5450" w:type="dxa"/>
            <w:vAlign w:val="center"/>
          </w:tcPr>
          <w:p>
            <w:pPr>
              <w:spacing w:after="0"/>
            </w:pPr>
            <w:r>
              <w:t xml:space="preserve">Enables the “Parse with AI” fallback in statement import; without it, that button returns a clear error instead of failing silently</w:t>
            </w:r>
          </w:p>
        </w:tc>
      </w:tr>
    </w:tbl>
    <w:p>
      <w:pPr/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A1A1A"/>
      </w:rPr>
    </w:rPrDefault>
  </w:docDefaults>
  <w:style w:type="paragraph" w:default="1" w:styleId="Normal">
    <w:name w:val="Normal"/>
    <w:qFormat/>
    <w:pPr>
      <w:spacing w:after="160" w:line="288" w:lineRule="auto"/>
    </w:pPr>
  </w:style>
  <w:style w:type="paragraph" w:styleId="Title">
    <w:name w:val="Title"/>
    <w:basedOn w:val="Normal"/>
    <w:qFormat/>
    <w:pPr>
      <w:spacing w:before="0" w:after="80"/>
    </w:pPr>
    <w:rPr>
      <w:rFonts w:ascii="Calibri" w:hAnsi="Calibri"/>
      <w:b/>
      <w:color w:val="1F3864"/>
      <w:sz w:val="52"/>
    </w:rPr>
  </w:style>
  <w:style w:type="paragraph" w:styleId="Subtitle">
    <w:name w:val="Subtitle"/>
    <w:basedOn w:val="Normal"/>
    <w:qFormat/>
    <w:pPr>
      <w:spacing w:before="0" w:after="240"/>
    </w:pPr>
    <w:rPr>
      <w:rFonts w:ascii="Calibri" w:hAnsi="Calibri"/>
      <w:color w:val="595959"/>
      <w:sz w:val="28"/>
    </w:rPr>
  </w:style>
  <w:style w:type="paragraph" w:styleId="Heading1">
    <w:name w:val="heading 1"/>
    <w:basedOn w:val="Normal"/>
    <w:next w:val="Normal"/>
    <w:qFormat/>
    <w:pPr>
      <w:spacing w:before="360" w:after="160"/>
      <w:pBdr>
        <w:bottom w:val="single" w:sz="6" w:space="4" w:color="1F3864"/>
      </w:pBdr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color w:val="2E5395"/>
      <w:sz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i/>
      <w:color w:val="404040"/>
      <w:sz w:val="23"/>
    </w:rPr>
  </w:style>
  <w:style w:type="paragraph" w:styleId="Code">
    <w:name w:val="Code"/>
    <w:basedOn w:val="Normal"/>
    <w:qFormat/>
    <w:pPr>
      <w:spacing w:before="0" w:after="0" w:line="240" w:lineRule="auto"/>
      <w:shd w:val="clear" w:color="auto" w:fill="F2F2F2"/>
      <w:ind w:left="60" w:right="60"/>
    </w:pPr>
    <w:rPr>
      <w:rFonts w:ascii="Consolas" w:hAnsi="Consolas" w:cs="Consolas"/>
      <w:color w:val="333333"/>
      <w:sz w:val="18"/>
    </w:rPr>
  </w:style>
  <w:style w:type="paragraph" w:styleId="Bullet">
    <w:name w:val="Bullet"/>
    <w:basedOn w:val="Normal"/>
    <w:qFormat/>
    <w:pPr>
      <w:spacing w:after="80"/>
      <w:ind w:left="360" w:hanging="270"/>
    </w:pPr>
  </w:style>
  <w:style w:type="paragraph" w:styleId="Caption">
    <w:name w:val="Caption"/>
    <w:basedOn w:val="Normal"/>
    <w:qFormat/>
    <w:pPr>
      <w:spacing w:before="0" w:after="200"/>
    </w:pPr>
    <w:rPr>
      <w:i/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Financial Myself - System Documentation</dc:title>
  <dc:creator>Claude Code</dc:creator>
  <cp:lastModifiedBy>Claude Code</cp:lastModifiedBy>
  <dcterms:created xsi:type="dcterms:W3CDTF">2026-08-26T00:00:00Z</dcterms:created>
  <dcterms:modified xsi:type="dcterms:W3CDTF">2026-08-26T00:00:00Z</dcterms:modified>
</cp:coreProperties>
</file>