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1C" w:rsidRDefault="00F84D87" w:rsidP="00F84D87">
      <w:pPr>
        <w:pStyle w:val="Heading1"/>
        <w:rPr>
          <w:sz w:val="44"/>
        </w:rPr>
      </w:pPr>
      <w:bookmarkStart w:id="0" w:name="_Toc530562739"/>
      <w:r w:rsidRPr="00F84D87">
        <w:rPr>
          <w:sz w:val="44"/>
        </w:rPr>
        <w:t xml:space="preserve">BAB </w:t>
      </w:r>
      <w:r w:rsidR="00685BEA">
        <w:rPr>
          <w:sz w:val="44"/>
        </w:rPr>
        <w:t>VI PENUTUP</w:t>
      </w:r>
      <w:bookmarkEnd w:id="0"/>
    </w:p>
    <w:p w:rsidR="00F84D87" w:rsidRDefault="00F84D87" w:rsidP="00F84D87">
      <w:pPr>
        <w:spacing w:line="360" w:lineRule="auto"/>
        <w:rPr>
          <w:rFonts w:asciiTheme="majorHAnsi" w:hAnsiTheme="majorHAnsi"/>
        </w:rPr>
      </w:pPr>
    </w:p>
    <w:p w:rsidR="00F84D87" w:rsidRDefault="00685BEA" w:rsidP="00685BEA">
      <w:pPr>
        <w:pStyle w:val="Heading2"/>
        <w:numPr>
          <w:ilvl w:val="1"/>
          <w:numId w:val="2"/>
        </w:numPr>
        <w:spacing w:after="200"/>
      </w:pPr>
      <w:bookmarkStart w:id="1" w:name="_Toc530562740"/>
      <w:r>
        <w:t>Kesimpulan</w:t>
      </w:r>
      <w:bookmarkEnd w:id="1"/>
    </w:p>
    <w:p w:rsidR="00685BEA" w:rsidRDefault="00685BEA" w:rsidP="00E96CF3">
      <w:pPr>
        <w:pStyle w:val="ListParagraph"/>
        <w:numPr>
          <w:ilvl w:val="0"/>
          <w:numId w:val="3"/>
        </w:numPr>
        <w:spacing w:line="360" w:lineRule="auto"/>
        <w:ind w:left="426"/>
        <w:jc w:val="both"/>
        <w:rPr>
          <w:rFonts w:asciiTheme="majorHAnsi" w:hAnsiTheme="majorHAnsi"/>
        </w:rPr>
      </w:pPr>
      <w:r w:rsidRPr="00685BEA">
        <w:rPr>
          <w:rFonts w:asciiTheme="majorHAnsi" w:hAnsiTheme="majorHAnsi"/>
        </w:rPr>
        <w:t xml:space="preserve">Berdasarkan hasil update perhitungan </w:t>
      </w:r>
      <w:r w:rsidRPr="00685BEA">
        <w:rPr>
          <w:rFonts w:asciiTheme="majorHAnsi" w:hAnsiTheme="majorHAnsi"/>
          <w:i/>
        </w:rPr>
        <w:t>Business as Usual</w:t>
      </w:r>
      <w:r w:rsidRPr="00685BEA">
        <w:rPr>
          <w:rFonts w:asciiTheme="majorHAnsi" w:hAnsiTheme="majorHAnsi"/>
        </w:rPr>
        <w:t xml:space="preserve"> (B</w:t>
      </w:r>
      <w:r>
        <w:rPr>
          <w:rFonts w:asciiTheme="majorHAnsi" w:hAnsiTheme="majorHAnsi"/>
        </w:rPr>
        <w:t>a</w:t>
      </w:r>
      <w:r w:rsidRPr="00685BEA">
        <w:rPr>
          <w:rFonts w:asciiTheme="majorHAnsi" w:hAnsiTheme="majorHAnsi"/>
        </w:rPr>
        <w:t>U/ tanpa upaya mitigasi), dapat diketahui bahwa besar emisi pada B</w:t>
      </w:r>
      <w:r>
        <w:rPr>
          <w:rFonts w:asciiTheme="majorHAnsi" w:hAnsiTheme="majorHAnsi"/>
        </w:rPr>
        <w:t>a</w:t>
      </w:r>
      <w:r w:rsidRPr="00685BEA">
        <w:rPr>
          <w:rFonts w:asciiTheme="majorHAnsi" w:hAnsiTheme="majorHAnsi"/>
        </w:rPr>
        <w:t xml:space="preserve">U pada tahun 2030 dari aktivitas di Provinsi Jawa Barat adalah </w:t>
      </w:r>
      <w:r>
        <w:rPr>
          <w:rFonts w:asciiTheme="majorHAnsi" w:hAnsiTheme="majorHAnsi"/>
        </w:rPr>
        <w:t>135.212,47 ribu</w:t>
      </w:r>
      <w:r w:rsidRPr="00685BEA">
        <w:rPr>
          <w:rFonts w:asciiTheme="majorHAnsi" w:hAnsiTheme="majorHAnsi"/>
        </w:rPr>
        <w:t xml:space="preserve"> ton CO</w:t>
      </w:r>
      <w:r w:rsidRPr="00685BEA">
        <w:rPr>
          <w:rFonts w:asciiTheme="majorHAnsi" w:hAnsiTheme="majorHAnsi"/>
          <w:vertAlign w:val="subscript"/>
        </w:rPr>
        <w:t>2</w:t>
      </w:r>
      <w:r>
        <w:rPr>
          <w:rFonts w:asciiTheme="majorHAnsi" w:hAnsiTheme="majorHAnsi"/>
        </w:rPr>
        <w:t xml:space="preserve"> </w:t>
      </w:r>
      <w:r w:rsidRPr="00685BEA">
        <w:rPr>
          <w:rFonts w:asciiTheme="majorHAnsi" w:hAnsiTheme="majorHAnsi"/>
        </w:rPr>
        <w:t>eq.  Penghasil emisi gas rumah kaca terbesar adalah sektor pengadaan dan penggunaan energi (energi rumah tangga dan komersial) yaitu sebesar 4</w:t>
      </w:r>
      <w:r w:rsidR="001B534B">
        <w:rPr>
          <w:rFonts w:asciiTheme="majorHAnsi" w:hAnsiTheme="majorHAnsi"/>
        </w:rPr>
        <w:t>0,65</w:t>
      </w:r>
      <w:r>
        <w:rPr>
          <w:rFonts w:asciiTheme="majorHAnsi" w:hAnsiTheme="majorHAnsi"/>
        </w:rPr>
        <w:t xml:space="preserve">%, menyusul sebesar 30,99 % adalah dari sektor </w:t>
      </w:r>
      <w:r w:rsidRPr="00685BEA">
        <w:rPr>
          <w:rFonts w:asciiTheme="majorHAnsi" w:hAnsiTheme="majorHAnsi"/>
        </w:rPr>
        <w:t xml:space="preserve">transportasi,  11,75 % dari kehutanan (perubahan </w:t>
      </w:r>
      <w:r w:rsidR="00C82023">
        <w:rPr>
          <w:rFonts w:asciiTheme="majorHAnsi" w:hAnsiTheme="majorHAnsi"/>
        </w:rPr>
        <w:t>kehutanan</w:t>
      </w:r>
      <w:r w:rsidRPr="00685BEA">
        <w:rPr>
          <w:rFonts w:asciiTheme="majorHAnsi" w:hAnsiTheme="majorHAnsi"/>
        </w:rPr>
        <w:t>)</w:t>
      </w:r>
      <w:r>
        <w:rPr>
          <w:rFonts w:asciiTheme="majorHAnsi" w:hAnsiTheme="majorHAnsi"/>
        </w:rPr>
        <w:t xml:space="preserve">, 11,00  % dari sektor limbah, </w:t>
      </w:r>
      <w:r w:rsidRPr="00685BEA">
        <w:rPr>
          <w:rFonts w:asciiTheme="majorHAnsi" w:hAnsiTheme="majorHAnsi"/>
        </w:rPr>
        <w:t>dan 5,60 % dari sektor pertanian.</w:t>
      </w:r>
    </w:p>
    <w:p w:rsidR="00685BEA" w:rsidRDefault="00685BEA" w:rsidP="00E96CF3">
      <w:pPr>
        <w:pStyle w:val="ListParagraph"/>
        <w:numPr>
          <w:ilvl w:val="0"/>
          <w:numId w:val="3"/>
        </w:numPr>
        <w:spacing w:line="360" w:lineRule="auto"/>
        <w:ind w:left="426"/>
        <w:jc w:val="both"/>
        <w:rPr>
          <w:rFonts w:asciiTheme="majorHAnsi" w:hAnsiTheme="majorHAnsi"/>
        </w:rPr>
      </w:pPr>
      <w:r w:rsidRPr="00685BEA">
        <w:rPr>
          <w:rFonts w:asciiTheme="majorHAnsi" w:hAnsiTheme="majorHAnsi"/>
        </w:rPr>
        <w:t>Aksi Mitigasi yang dituangkan ke dalam Kaji Ulang RAD-GRK Provinsi Jawa Barat adalah sebagai berikut :</w:t>
      </w:r>
    </w:p>
    <w:p w:rsidR="00685BEA" w:rsidRPr="001B19AE" w:rsidRDefault="00685BEA" w:rsidP="00E96CF3">
      <w:pPr>
        <w:pStyle w:val="ListParagraph"/>
        <w:numPr>
          <w:ilvl w:val="0"/>
          <w:numId w:val="5"/>
        </w:numPr>
        <w:spacing w:line="360" w:lineRule="auto"/>
        <w:ind w:left="851"/>
        <w:jc w:val="both"/>
        <w:rPr>
          <w:rFonts w:asciiTheme="majorHAnsi" w:hAnsiTheme="majorHAnsi"/>
        </w:rPr>
      </w:pPr>
      <w:r w:rsidRPr="00685BEA">
        <w:rPr>
          <w:rFonts w:asciiTheme="majorHAnsi" w:hAnsiTheme="majorHAnsi"/>
        </w:rPr>
        <w:t xml:space="preserve">Sektor </w:t>
      </w:r>
      <w:r w:rsidR="00C82023">
        <w:rPr>
          <w:rFonts w:asciiTheme="majorHAnsi" w:hAnsiTheme="majorHAnsi"/>
        </w:rPr>
        <w:t>Kehutanan</w:t>
      </w:r>
      <w:r w:rsidRPr="00685BEA">
        <w:rPr>
          <w:rFonts w:asciiTheme="majorHAnsi" w:hAnsiTheme="majorHAnsi"/>
        </w:rPr>
        <w:t xml:space="preserve"> :</w:t>
      </w:r>
      <w:r w:rsidR="001B19AE">
        <w:rPr>
          <w:rFonts w:asciiTheme="majorHAnsi" w:hAnsiTheme="majorHAnsi"/>
        </w:rPr>
        <w:t xml:space="preserve"> Rehabilitasi Hutan, Rehabilitasi Lahan, </w:t>
      </w:r>
      <w:r w:rsidR="001B19AE" w:rsidRPr="001B19AE">
        <w:rPr>
          <w:rFonts w:asciiTheme="majorHAnsi" w:hAnsiTheme="majorHAnsi"/>
        </w:rPr>
        <w:t>Rehabilitasi L</w:t>
      </w:r>
      <w:r w:rsidR="001B19AE">
        <w:rPr>
          <w:rFonts w:asciiTheme="majorHAnsi" w:hAnsiTheme="majorHAnsi"/>
        </w:rPr>
        <w:t xml:space="preserve">ahan (Tata Kelola Hutan Rakyat), Rehabilitasi Hutan Mangrove, </w:t>
      </w:r>
      <w:r w:rsidR="001B19AE" w:rsidRPr="001B19AE">
        <w:rPr>
          <w:rFonts w:asciiTheme="majorHAnsi" w:hAnsiTheme="majorHAnsi"/>
        </w:rPr>
        <w:t>Penge</w:t>
      </w:r>
      <w:r w:rsidR="001B19AE">
        <w:rPr>
          <w:rFonts w:asciiTheme="majorHAnsi" w:hAnsiTheme="majorHAnsi"/>
        </w:rPr>
        <w:t xml:space="preserve">ndalian Reboisasi Hutan Lindung, </w:t>
      </w:r>
      <w:r w:rsidR="001B19AE" w:rsidRPr="001B19AE">
        <w:rPr>
          <w:rFonts w:asciiTheme="majorHAnsi" w:hAnsiTheme="majorHAnsi"/>
        </w:rPr>
        <w:t>Penghijauan Lingkungan</w:t>
      </w:r>
      <w:r w:rsidR="001B19AE">
        <w:rPr>
          <w:rFonts w:asciiTheme="majorHAnsi" w:hAnsiTheme="majorHAnsi"/>
        </w:rPr>
        <w:t xml:space="preserve">, </w:t>
      </w:r>
      <w:r w:rsidR="001B19AE" w:rsidRPr="001B19AE">
        <w:rPr>
          <w:rFonts w:asciiTheme="majorHAnsi" w:hAnsiTheme="majorHAnsi"/>
        </w:rPr>
        <w:t>Pengelolaan Izin dan Penegakan Hukum Pemanfaatan Ruang</w:t>
      </w:r>
      <w:r w:rsidR="001B19AE">
        <w:rPr>
          <w:rFonts w:asciiTheme="majorHAnsi" w:hAnsiTheme="majorHAnsi"/>
        </w:rPr>
        <w:t xml:space="preserve">, serta </w:t>
      </w:r>
      <w:r w:rsidR="001B19AE" w:rsidRPr="001B19AE">
        <w:rPr>
          <w:rFonts w:asciiTheme="majorHAnsi" w:hAnsiTheme="majorHAnsi"/>
        </w:rPr>
        <w:t>Perlindungan Hutan</w:t>
      </w:r>
      <w:r w:rsidRPr="001B19AE">
        <w:rPr>
          <w:rFonts w:asciiTheme="majorHAnsi" w:hAnsiTheme="majorHAnsi"/>
        </w:rPr>
        <w:t xml:space="preserve">. Besarnya emisi sektor </w:t>
      </w:r>
      <w:r w:rsidR="00C82023">
        <w:rPr>
          <w:rFonts w:asciiTheme="majorHAnsi" w:hAnsiTheme="majorHAnsi"/>
        </w:rPr>
        <w:t>kehutanan</w:t>
      </w:r>
      <w:r w:rsidRPr="001B19AE">
        <w:rPr>
          <w:rFonts w:asciiTheme="majorHAnsi" w:hAnsiTheme="majorHAnsi"/>
        </w:rPr>
        <w:t xml:space="preserve"> setelah pelaksanaan aksi mitigasi pada tahun 2030 yaitu </w:t>
      </w:r>
      <w:r w:rsidR="001B19AE">
        <w:rPr>
          <w:rFonts w:asciiTheme="majorHAnsi" w:hAnsiTheme="majorHAnsi"/>
        </w:rPr>
        <w:t>11.464,35</w:t>
      </w:r>
      <w:r w:rsidRPr="001B19AE">
        <w:rPr>
          <w:rFonts w:asciiTheme="majorHAnsi" w:hAnsiTheme="majorHAnsi"/>
        </w:rPr>
        <w:t xml:space="preserve"> ribu ton CO2e, atau menurun sebanyak </w:t>
      </w:r>
      <w:r w:rsidR="001B19AE">
        <w:rPr>
          <w:rFonts w:asciiTheme="majorHAnsi" w:hAnsiTheme="majorHAnsi"/>
        </w:rPr>
        <w:t>27,85</w:t>
      </w:r>
      <w:r w:rsidRPr="001B19AE">
        <w:rPr>
          <w:rFonts w:asciiTheme="majorHAnsi" w:hAnsiTheme="majorHAnsi"/>
        </w:rPr>
        <w:t xml:space="preserve"> % terhadap kondisi BaU baseline </w:t>
      </w:r>
      <w:r w:rsidR="00782F41">
        <w:rPr>
          <w:rFonts w:asciiTheme="majorHAnsi" w:hAnsiTheme="majorHAnsi"/>
        </w:rPr>
        <w:t xml:space="preserve">sektor </w:t>
      </w:r>
      <w:r w:rsidR="00C82023">
        <w:rPr>
          <w:rFonts w:asciiTheme="majorHAnsi" w:hAnsiTheme="majorHAnsi"/>
        </w:rPr>
        <w:t>kehutanan</w:t>
      </w:r>
      <w:r w:rsidRPr="001B19AE">
        <w:rPr>
          <w:rFonts w:asciiTheme="majorHAnsi" w:hAnsiTheme="majorHAnsi"/>
        </w:rPr>
        <w:t xml:space="preserve"> pada tahun tersebut.</w:t>
      </w:r>
    </w:p>
    <w:p w:rsidR="00685BEA" w:rsidRPr="001B19AE" w:rsidRDefault="00685BEA" w:rsidP="00E96CF3">
      <w:pPr>
        <w:pStyle w:val="ListParagraph"/>
        <w:numPr>
          <w:ilvl w:val="0"/>
          <w:numId w:val="5"/>
        </w:numPr>
        <w:spacing w:line="360" w:lineRule="auto"/>
        <w:ind w:left="851"/>
        <w:jc w:val="both"/>
        <w:rPr>
          <w:rFonts w:asciiTheme="majorHAnsi" w:hAnsiTheme="majorHAnsi"/>
        </w:rPr>
      </w:pPr>
      <w:r w:rsidRPr="00685BEA">
        <w:rPr>
          <w:rFonts w:asciiTheme="majorHAnsi" w:hAnsiTheme="majorHAnsi"/>
        </w:rPr>
        <w:t xml:space="preserve">Sektor Pertanian : </w:t>
      </w:r>
      <w:r w:rsidR="001B19AE" w:rsidRPr="001B19AE">
        <w:rPr>
          <w:rFonts w:asciiTheme="majorHAnsi" w:hAnsiTheme="majorHAnsi"/>
        </w:rPr>
        <w:t>Unit Pengolahan Pupuk Organik (UPPO)</w:t>
      </w:r>
      <w:r w:rsidR="0077277E">
        <w:rPr>
          <w:rFonts w:asciiTheme="majorHAnsi" w:hAnsiTheme="majorHAnsi"/>
        </w:rPr>
        <w:t xml:space="preserve">, </w:t>
      </w:r>
      <w:r w:rsidR="001B19AE" w:rsidRPr="001B19AE">
        <w:rPr>
          <w:rFonts w:asciiTheme="majorHAnsi" w:hAnsiTheme="majorHAnsi"/>
        </w:rPr>
        <w:t>Penggunaan Teknologi Budidaya dengan Sistem Pengelolaan Tanaman Terpadu (PTT)</w:t>
      </w:r>
      <w:r w:rsidR="001B19AE">
        <w:rPr>
          <w:rFonts w:asciiTheme="majorHAnsi" w:hAnsiTheme="majorHAnsi"/>
        </w:rPr>
        <w:t xml:space="preserve">, serta </w:t>
      </w:r>
      <w:r w:rsidR="001B19AE" w:rsidRPr="001B19AE">
        <w:rPr>
          <w:rFonts w:asciiTheme="majorHAnsi" w:hAnsiTheme="majorHAnsi"/>
        </w:rPr>
        <w:t>Penggunaan Teknologi Budidaya dengan System of Rice Intensification (SRI)</w:t>
      </w:r>
      <w:r w:rsidR="001B19AE">
        <w:rPr>
          <w:rFonts w:asciiTheme="majorHAnsi" w:hAnsiTheme="majorHAnsi"/>
        </w:rPr>
        <w:t xml:space="preserve">. </w:t>
      </w:r>
      <w:r w:rsidRPr="001B19AE">
        <w:rPr>
          <w:rFonts w:asciiTheme="majorHAnsi" w:hAnsiTheme="majorHAnsi"/>
        </w:rPr>
        <w:t>Besarnya emisi di sektor Pertanian setelah pelaksanaan aksi mitigasi pada tahun 2030</w:t>
      </w:r>
      <w:r w:rsidR="0077277E">
        <w:rPr>
          <w:rFonts w:asciiTheme="majorHAnsi" w:hAnsiTheme="majorHAnsi"/>
        </w:rPr>
        <w:t xml:space="preserve">, </w:t>
      </w:r>
      <w:r w:rsidRPr="001B19AE">
        <w:rPr>
          <w:rFonts w:asciiTheme="majorHAnsi" w:hAnsiTheme="majorHAnsi"/>
        </w:rPr>
        <w:t xml:space="preserve"> yaitu </w:t>
      </w:r>
      <w:r w:rsidR="001B19AE">
        <w:rPr>
          <w:rFonts w:asciiTheme="majorHAnsi" w:hAnsiTheme="majorHAnsi"/>
        </w:rPr>
        <w:t xml:space="preserve">6.743,90 </w:t>
      </w:r>
      <w:r w:rsidRPr="001B19AE">
        <w:rPr>
          <w:rFonts w:asciiTheme="majorHAnsi" w:hAnsiTheme="majorHAnsi"/>
        </w:rPr>
        <w:t>ribu ton</w:t>
      </w:r>
      <w:r w:rsidR="0077277E">
        <w:rPr>
          <w:rFonts w:asciiTheme="majorHAnsi" w:hAnsiTheme="majorHAnsi"/>
        </w:rPr>
        <w:t xml:space="preserve"> CO2e, atau dapat menurunkan emi</w:t>
      </w:r>
      <w:r w:rsidRPr="001B19AE">
        <w:rPr>
          <w:rFonts w:asciiTheme="majorHAnsi" w:hAnsiTheme="majorHAnsi"/>
        </w:rPr>
        <w:t xml:space="preserve">si Gas Rumah </w:t>
      </w:r>
      <w:r w:rsidR="001B19AE">
        <w:rPr>
          <w:rFonts w:asciiTheme="majorHAnsi" w:hAnsiTheme="majorHAnsi"/>
        </w:rPr>
        <w:t>Kaca di tahun 2020 sebesar 10,96</w:t>
      </w:r>
      <w:r w:rsidRPr="001B19AE">
        <w:rPr>
          <w:rFonts w:asciiTheme="majorHAnsi" w:hAnsiTheme="majorHAnsi"/>
        </w:rPr>
        <w:t xml:space="preserve"> % terhadap kondisi BaU baseline sektor pertanian pada tahun tersebut.</w:t>
      </w:r>
    </w:p>
    <w:p w:rsidR="00685BEA" w:rsidRDefault="00685BEA" w:rsidP="00E96CF3">
      <w:pPr>
        <w:pStyle w:val="ListParagraph"/>
        <w:numPr>
          <w:ilvl w:val="0"/>
          <w:numId w:val="5"/>
        </w:numPr>
        <w:spacing w:line="360" w:lineRule="auto"/>
        <w:ind w:left="851"/>
        <w:jc w:val="both"/>
        <w:rPr>
          <w:rFonts w:asciiTheme="majorHAnsi" w:hAnsiTheme="majorHAnsi"/>
        </w:rPr>
      </w:pPr>
      <w:r w:rsidRPr="00685BEA">
        <w:rPr>
          <w:rFonts w:asciiTheme="majorHAnsi" w:hAnsiTheme="majorHAnsi"/>
        </w:rPr>
        <w:t>Sektor Energi : Pengembangan Energi Baru dan Terbaharukan</w:t>
      </w:r>
      <w:r w:rsidR="001B19AE">
        <w:rPr>
          <w:rFonts w:asciiTheme="majorHAnsi" w:hAnsiTheme="majorHAnsi"/>
        </w:rPr>
        <w:t xml:space="preserve">, Substitusi Bahan Bakar Fosil ke </w:t>
      </w:r>
      <w:r w:rsidRPr="00685BEA">
        <w:rPr>
          <w:rFonts w:asciiTheme="majorHAnsi" w:hAnsiTheme="majorHAnsi"/>
        </w:rPr>
        <w:t>Biogas</w:t>
      </w:r>
      <w:r w:rsidR="001B19AE">
        <w:rPr>
          <w:rFonts w:asciiTheme="majorHAnsi" w:hAnsiTheme="majorHAnsi"/>
        </w:rPr>
        <w:t>, serta Efisiensi Energi sistem PJU (Solarcell)</w:t>
      </w:r>
      <w:r w:rsidRPr="00685BEA">
        <w:rPr>
          <w:rFonts w:asciiTheme="majorHAnsi" w:hAnsiTheme="majorHAnsi"/>
        </w:rPr>
        <w:t>. Besarnya emisi sektor energi setelah pelaksanaan aksi mitigasi pada tahun 2030</w:t>
      </w:r>
      <w:r w:rsidR="0077277E">
        <w:rPr>
          <w:rFonts w:asciiTheme="majorHAnsi" w:hAnsiTheme="majorHAnsi"/>
        </w:rPr>
        <w:t xml:space="preserve">, </w:t>
      </w:r>
      <w:r w:rsidRPr="00685BEA">
        <w:rPr>
          <w:rFonts w:asciiTheme="majorHAnsi" w:hAnsiTheme="majorHAnsi"/>
        </w:rPr>
        <w:t xml:space="preserve"> yaitu </w:t>
      </w:r>
      <w:r w:rsidR="00265208">
        <w:rPr>
          <w:rFonts w:asciiTheme="majorHAnsi" w:hAnsiTheme="majorHAnsi"/>
          <w:szCs w:val="16"/>
        </w:rPr>
        <w:t>50.572,94</w:t>
      </w:r>
      <w:r w:rsidRPr="0025616C">
        <w:rPr>
          <w:rFonts w:asciiTheme="majorHAnsi" w:hAnsiTheme="majorHAnsi"/>
          <w:sz w:val="32"/>
        </w:rPr>
        <w:t xml:space="preserve"> </w:t>
      </w:r>
      <w:r w:rsidRPr="00685BEA">
        <w:rPr>
          <w:rFonts w:asciiTheme="majorHAnsi" w:hAnsiTheme="majorHAnsi"/>
        </w:rPr>
        <w:t>ribu ton CO2e, atau menurun seban</w:t>
      </w:r>
      <w:r w:rsidR="0025616C">
        <w:rPr>
          <w:rFonts w:asciiTheme="majorHAnsi" w:hAnsiTheme="majorHAnsi"/>
        </w:rPr>
        <w:t>yak 7,99</w:t>
      </w:r>
      <w:r w:rsidR="001B19AE">
        <w:rPr>
          <w:rFonts w:asciiTheme="majorHAnsi" w:hAnsiTheme="majorHAnsi"/>
        </w:rPr>
        <w:t xml:space="preserve"> </w:t>
      </w:r>
      <w:r w:rsidRPr="00685BEA">
        <w:rPr>
          <w:rFonts w:asciiTheme="majorHAnsi" w:hAnsiTheme="majorHAnsi"/>
        </w:rPr>
        <w:t>% terhadap kondisi BaU baseline sektor energi pada tahun tersebut</w:t>
      </w:r>
      <w:r>
        <w:rPr>
          <w:rFonts w:asciiTheme="majorHAnsi" w:hAnsiTheme="majorHAnsi"/>
        </w:rPr>
        <w:t>.</w:t>
      </w:r>
    </w:p>
    <w:p w:rsidR="00685BEA" w:rsidRDefault="00685BEA" w:rsidP="00E96CF3">
      <w:pPr>
        <w:pStyle w:val="ListParagraph"/>
        <w:numPr>
          <w:ilvl w:val="0"/>
          <w:numId w:val="5"/>
        </w:numPr>
        <w:spacing w:line="360" w:lineRule="auto"/>
        <w:ind w:left="851"/>
        <w:jc w:val="both"/>
        <w:rPr>
          <w:rFonts w:asciiTheme="majorHAnsi" w:hAnsiTheme="majorHAnsi"/>
        </w:rPr>
      </w:pPr>
      <w:r w:rsidRPr="00685BEA">
        <w:rPr>
          <w:rFonts w:asciiTheme="majorHAnsi" w:hAnsiTheme="majorHAnsi"/>
        </w:rPr>
        <w:t xml:space="preserve">Sektor Transportasi : </w:t>
      </w:r>
      <w:r w:rsidR="001B19AE" w:rsidRPr="00685BEA">
        <w:rPr>
          <w:rFonts w:asciiTheme="majorHAnsi" w:hAnsiTheme="majorHAnsi"/>
        </w:rPr>
        <w:t>Reformasi sistem transit - BRT System, Peremajaan armada transportasi umum, Penerapan manajemen parkir,</w:t>
      </w:r>
      <w:r w:rsidR="001B19AE">
        <w:rPr>
          <w:rFonts w:asciiTheme="majorHAnsi" w:hAnsiTheme="majorHAnsi"/>
        </w:rPr>
        <w:t xml:space="preserve"> Pembangun</w:t>
      </w:r>
      <w:r w:rsidR="001B19AE" w:rsidRPr="00685BEA">
        <w:rPr>
          <w:rFonts w:asciiTheme="majorHAnsi" w:hAnsiTheme="majorHAnsi"/>
        </w:rPr>
        <w:t>an ITS/ATS,</w:t>
      </w:r>
      <w:r w:rsidR="001B19AE">
        <w:rPr>
          <w:rFonts w:asciiTheme="majorHAnsi" w:hAnsiTheme="majorHAnsi"/>
        </w:rPr>
        <w:t xml:space="preserve"> Car Free Day, </w:t>
      </w:r>
      <w:r w:rsidRPr="00685BEA">
        <w:rPr>
          <w:rFonts w:asciiTheme="majorHAnsi" w:hAnsiTheme="majorHAnsi"/>
        </w:rPr>
        <w:t>Pelatihan Eco Smart Driving. Besarnya emisi sektor transportasi setelah pelaksanaan aksi mitigasi pada tahun 2030</w:t>
      </w:r>
      <w:r w:rsidR="00E96CF3">
        <w:rPr>
          <w:rFonts w:asciiTheme="majorHAnsi" w:hAnsiTheme="majorHAnsi"/>
        </w:rPr>
        <w:t>,</w:t>
      </w:r>
      <w:r w:rsidRPr="00685BEA">
        <w:rPr>
          <w:rFonts w:asciiTheme="majorHAnsi" w:hAnsiTheme="majorHAnsi"/>
        </w:rPr>
        <w:t xml:space="preserve"> yaitu</w:t>
      </w:r>
      <w:r w:rsidR="001B19AE">
        <w:rPr>
          <w:rFonts w:asciiTheme="majorHAnsi" w:hAnsiTheme="majorHAnsi"/>
        </w:rPr>
        <w:t xml:space="preserve"> 41.492,30</w:t>
      </w:r>
      <w:r w:rsidRPr="00685BEA">
        <w:rPr>
          <w:rFonts w:asciiTheme="majorHAnsi" w:hAnsiTheme="majorHAnsi"/>
        </w:rPr>
        <w:t xml:space="preserve"> ribu ton </w:t>
      </w:r>
      <w:r w:rsidR="001B19AE">
        <w:rPr>
          <w:rFonts w:asciiTheme="majorHAnsi" w:hAnsiTheme="majorHAnsi"/>
        </w:rPr>
        <w:t xml:space="preserve">CO2e, atau </w:t>
      </w:r>
      <w:r w:rsidR="001B19AE">
        <w:rPr>
          <w:rFonts w:asciiTheme="majorHAnsi" w:hAnsiTheme="majorHAnsi"/>
        </w:rPr>
        <w:lastRenderedPageBreak/>
        <w:t>menurun sebanyak 0,99</w:t>
      </w:r>
      <w:r w:rsidRPr="00685BEA">
        <w:rPr>
          <w:rFonts w:asciiTheme="majorHAnsi" w:hAnsiTheme="majorHAnsi"/>
        </w:rPr>
        <w:t xml:space="preserve"> % terhadap kondisi BaU baseline sektor transportasi pada tahun tersebut.</w:t>
      </w:r>
    </w:p>
    <w:p w:rsidR="00685BEA" w:rsidRDefault="00685BEA" w:rsidP="00E96CF3">
      <w:pPr>
        <w:pStyle w:val="ListParagraph"/>
        <w:numPr>
          <w:ilvl w:val="0"/>
          <w:numId w:val="5"/>
        </w:numPr>
        <w:spacing w:line="360" w:lineRule="auto"/>
        <w:ind w:left="851"/>
        <w:jc w:val="both"/>
        <w:rPr>
          <w:rFonts w:asciiTheme="majorHAnsi" w:hAnsiTheme="majorHAnsi"/>
        </w:rPr>
      </w:pPr>
      <w:r w:rsidRPr="00685BEA">
        <w:rPr>
          <w:rFonts w:asciiTheme="majorHAnsi" w:hAnsiTheme="majorHAnsi"/>
        </w:rPr>
        <w:t>Sektor Limbah : Pembangunan Fasilitas Pengolahan Air Limbah secara t</w:t>
      </w:r>
      <w:r w:rsidR="001B19AE">
        <w:rPr>
          <w:rFonts w:asciiTheme="majorHAnsi" w:hAnsiTheme="majorHAnsi"/>
        </w:rPr>
        <w:t>erpusat (off site) aerobik (Rede</w:t>
      </w:r>
      <w:r w:rsidRPr="00685BEA">
        <w:rPr>
          <w:rFonts w:asciiTheme="majorHAnsi" w:hAnsiTheme="majorHAnsi"/>
        </w:rPr>
        <w:t xml:space="preserve">sain IPAL Bojongsoang), </w:t>
      </w:r>
      <w:r w:rsidR="001B19AE">
        <w:rPr>
          <w:rFonts w:asciiTheme="majorHAnsi" w:hAnsiTheme="majorHAnsi"/>
        </w:rPr>
        <w:t xml:space="preserve">Penanganan sampah di TPA/TPST Regional (Komposting di TPA dan Pengolahan Thermal), serta </w:t>
      </w:r>
      <w:r w:rsidRPr="00685BEA">
        <w:rPr>
          <w:rFonts w:asciiTheme="majorHAnsi" w:hAnsiTheme="majorHAnsi"/>
        </w:rPr>
        <w:t xml:space="preserve">Pembangunan dan Operasional TPS Terpadu 3R/Komposting. Besarnya emisi sektor limbah setelah pelaksanaan aksi mitigasi pada tahun 2030 adalah sebesar </w:t>
      </w:r>
      <w:r w:rsidR="00265208">
        <w:rPr>
          <w:rFonts w:ascii="Cambria" w:hAnsi="Cambria"/>
        </w:rPr>
        <w:t>11.</w:t>
      </w:r>
      <w:r w:rsidR="00B61BA8">
        <w:rPr>
          <w:rFonts w:ascii="Cambria" w:hAnsi="Cambria"/>
        </w:rPr>
        <w:t>492,15</w:t>
      </w:r>
      <w:r w:rsidR="0025616C">
        <w:rPr>
          <w:rFonts w:ascii="Cambria" w:hAnsi="Cambria"/>
        </w:rPr>
        <w:t xml:space="preserve"> </w:t>
      </w:r>
      <w:r w:rsidRPr="00685BEA">
        <w:rPr>
          <w:rFonts w:asciiTheme="majorHAnsi" w:hAnsiTheme="majorHAnsi"/>
        </w:rPr>
        <w:t>ribu ton</w:t>
      </w:r>
      <w:r w:rsidR="001B19AE">
        <w:rPr>
          <w:rFonts w:asciiTheme="majorHAnsi" w:hAnsiTheme="majorHAnsi"/>
        </w:rPr>
        <w:t xml:space="preserve"> CO2e, atau menurun sebanyak </w:t>
      </w:r>
      <w:r w:rsidR="00265208">
        <w:rPr>
          <w:rFonts w:asciiTheme="majorHAnsi" w:hAnsiTheme="majorHAnsi"/>
        </w:rPr>
        <w:t>2</w:t>
      </w:r>
      <w:r w:rsidR="00B61BA8">
        <w:rPr>
          <w:rFonts w:asciiTheme="majorHAnsi" w:hAnsiTheme="majorHAnsi"/>
        </w:rPr>
        <w:t xml:space="preserve">2,74 </w:t>
      </w:r>
      <w:r w:rsidRPr="00685BEA">
        <w:rPr>
          <w:rFonts w:asciiTheme="majorHAnsi" w:hAnsiTheme="majorHAnsi"/>
        </w:rPr>
        <w:t>% terhadap kondisi BaU baseline sektor limbah pada tahun tersebut.</w:t>
      </w:r>
    </w:p>
    <w:p w:rsidR="00E96CF3" w:rsidRPr="000D5204" w:rsidRDefault="00685BEA" w:rsidP="00E96CF3">
      <w:pPr>
        <w:pStyle w:val="ListParagraph"/>
        <w:numPr>
          <w:ilvl w:val="0"/>
          <w:numId w:val="3"/>
        </w:numPr>
        <w:spacing w:line="360" w:lineRule="auto"/>
        <w:ind w:left="426"/>
        <w:jc w:val="both"/>
        <w:rPr>
          <w:rFonts w:asciiTheme="majorHAnsi" w:hAnsiTheme="majorHAnsi"/>
        </w:rPr>
      </w:pPr>
      <w:r w:rsidRPr="000D5204">
        <w:rPr>
          <w:rFonts w:asciiTheme="majorHAnsi" w:hAnsiTheme="majorHAnsi"/>
        </w:rPr>
        <w:t xml:space="preserve">Hasil rekapitulasi Emisi Setelah Pelaksanaan Aksi Mitigasi emisi gas rumah kaca (RAD GRK) Provinsi Jawa menunjukkan bahwa pada tahun 2030, dengan adanya RAD GRK diperkirakan total emisi di Jawa Barat turun menjadi </w:t>
      </w:r>
      <w:r w:rsidR="00265208" w:rsidRPr="000D5204">
        <w:rPr>
          <w:rFonts w:asciiTheme="majorHAnsi" w:hAnsiTheme="majorHAnsi"/>
          <w:color w:val="000000"/>
        </w:rPr>
        <w:t>121.</w:t>
      </w:r>
      <w:r w:rsidR="00B61BA8">
        <w:rPr>
          <w:rFonts w:asciiTheme="majorHAnsi" w:hAnsiTheme="majorHAnsi"/>
          <w:color w:val="000000"/>
        </w:rPr>
        <w:t>765</w:t>
      </w:r>
      <w:r w:rsidR="00265208" w:rsidRPr="000D5204">
        <w:rPr>
          <w:rFonts w:asciiTheme="majorHAnsi" w:hAnsiTheme="majorHAnsi"/>
          <w:color w:val="000000"/>
        </w:rPr>
        <w:t>,</w:t>
      </w:r>
      <w:r w:rsidR="00B61BA8">
        <w:rPr>
          <w:rFonts w:asciiTheme="majorHAnsi" w:hAnsiTheme="majorHAnsi"/>
          <w:color w:val="000000"/>
        </w:rPr>
        <w:t>65</w:t>
      </w:r>
      <w:r w:rsidR="0025616C" w:rsidRPr="000D5204">
        <w:rPr>
          <w:rFonts w:asciiTheme="majorHAnsi" w:hAnsiTheme="majorHAnsi"/>
          <w:color w:val="000000"/>
        </w:rPr>
        <w:t xml:space="preserve"> </w:t>
      </w:r>
      <w:r w:rsidR="00C81A21" w:rsidRPr="000D5204">
        <w:rPr>
          <w:rFonts w:asciiTheme="majorHAnsi" w:hAnsiTheme="majorHAnsi"/>
        </w:rPr>
        <w:t xml:space="preserve">ribu </w:t>
      </w:r>
      <w:r w:rsidRPr="000D5204">
        <w:rPr>
          <w:rFonts w:asciiTheme="majorHAnsi" w:hAnsiTheme="majorHAnsi"/>
        </w:rPr>
        <w:t>ton CO</w:t>
      </w:r>
      <w:r w:rsidRPr="000D5204">
        <w:rPr>
          <w:rFonts w:asciiTheme="majorHAnsi" w:hAnsiTheme="majorHAnsi"/>
          <w:vertAlign w:val="subscript"/>
        </w:rPr>
        <w:t>2</w:t>
      </w:r>
      <w:r w:rsidRPr="000D5204">
        <w:rPr>
          <w:rFonts w:asciiTheme="majorHAnsi" w:hAnsiTheme="majorHAnsi"/>
        </w:rPr>
        <w:t xml:space="preserve">eq.  Dengan demikian terjadi </w:t>
      </w:r>
      <w:r w:rsidR="00C81A21" w:rsidRPr="000D5204">
        <w:rPr>
          <w:rFonts w:asciiTheme="majorHAnsi" w:hAnsiTheme="majorHAnsi"/>
        </w:rPr>
        <w:t xml:space="preserve">selisih (penurunan) sebesar </w:t>
      </w:r>
      <w:r w:rsidR="00B61BA8">
        <w:rPr>
          <w:rFonts w:asciiTheme="majorHAnsi" w:hAnsiTheme="majorHAnsi"/>
        </w:rPr>
        <w:t xml:space="preserve">9,94 </w:t>
      </w:r>
      <w:r w:rsidR="00782F41" w:rsidRPr="000D5204">
        <w:rPr>
          <w:rFonts w:asciiTheme="majorHAnsi" w:hAnsiTheme="majorHAnsi"/>
        </w:rPr>
        <w:t>%</w:t>
      </w:r>
      <w:r w:rsidR="000D5204" w:rsidRPr="000D5204">
        <w:rPr>
          <w:rFonts w:asciiTheme="majorHAnsi" w:hAnsiTheme="majorHAnsi"/>
        </w:rPr>
        <w:t xml:space="preserve"> (yaitu sebesar 13.</w:t>
      </w:r>
      <w:r w:rsidR="00B61BA8">
        <w:rPr>
          <w:rFonts w:asciiTheme="majorHAnsi" w:hAnsiTheme="majorHAnsi"/>
        </w:rPr>
        <w:t>446,82</w:t>
      </w:r>
      <w:r w:rsidR="000D5204" w:rsidRPr="000D5204">
        <w:rPr>
          <w:rFonts w:asciiTheme="majorHAnsi" w:hAnsiTheme="majorHAnsi"/>
        </w:rPr>
        <w:t xml:space="preserve"> ribu ton CO</w:t>
      </w:r>
      <w:r w:rsidR="000D5204" w:rsidRPr="000D5204">
        <w:rPr>
          <w:rFonts w:asciiTheme="majorHAnsi" w:hAnsiTheme="majorHAnsi"/>
          <w:vertAlign w:val="subscript"/>
        </w:rPr>
        <w:t>2</w:t>
      </w:r>
      <w:r w:rsidR="000D5204" w:rsidRPr="000D5204">
        <w:rPr>
          <w:rFonts w:asciiTheme="majorHAnsi" w:hAnsiTheme="majorHAnsi"/>
        </w:rPr>
        <w:t xml:space="preserve"> eq)</w:t>
      </w:r>
      <w:r w:rsidR="00782F41" w:rsidRPr="000D5204">
        <w:rPr>
          <w:rFonts w:asciiTheme="majorHAnsi" w:hAnsiTheme="majorHAnsi"/>
        </w:rPr>
        <w:t xml:space="preserve">. Distribusi </w:t>
      </w:r>
      <w:r w:rsidR="000D5204" w:rsidRPr="000D5204">
        <w:rPr>
          <w:rFonts w:asciiTheme="majorHAnsi" w:hAnsiTheme="majorHAnsi"/>
        </w:rPr>
        <w:t xml:space="preserve">kontribusi tiap sektor terhadap penurunan sebesar itu </w:t>
      </w:r>
      <w:r w:rsidR="00782F41" w:rsidRPr="000D5204">
        <w:rPr>
          <w:rFonts w:asciiTheme="majorHAnsi" w:hAnsiTheme="majorHAnsi"/>
        </w:rPr>
        <w:t xml:space="preserve">adalah sebagai berikut : </w:t>
      </w:r>
      <w:r w:rsidR="000D5204" w:rsidRPr="000D5204">
        <w:rPr>
          <w:rFonts w:asciiTheme="majorHAnsi" w:hAnsiTheme="majorHAnsi"/>
        </w:rPr>
        <w:t>s</w:t>
      </w:r>
      <w:r w:rsidR="00782F41" w:rsidRPr="000D5204">
        <w:rPr>
          <w:rFonts w:asciiTheme="majorHAnsi" w:hAnsiTheme="majorHAnsi"/>
        </w:rPr>
        <w:t>ektor kehutanan memberikan distribusi 32,59 %, sektor energi 32,</w:t>
      </w:r>
      <w:r w:rsidR="00B61BA8">
        <w:rPr>
          <w:rFonts w:asciiTheme="majorHAnsi" w:hAnsiTheme="majorHAnsi"/>
        </w:rPr>
        <w:t>68</w:t>
      </w:r>
      <w:r w:rsidR="00782F41" w:rsidRPr="000D5204">
        <w:rPr>
          <w:rFonts w:asciiTheme="majorHAnsi" w:hAnsiTheme="majorHAnsi"/>
        </w:rPr>
        <w:t xml:space="preserve"> %, sektor limbah 25,</w:t>
      </w:r>
      <w:r w:rsidR="00B61BA8">
        <w:rPr>
          <w:rFonts w:asciiTheme="majorHAnsi" w:hAnsiTheme="majorHAnsi"/>
        </w:rPr>
        <w:t>15</w:t>
      </w:r>
      <w:r w:rsidR="00782F41" w:rsidRPr="000D5204">
        <w:rPr>
          <w:rFonts w:asciiTheme="majorHAnsi" w:hAnsiTheme="majorHAnsi"/>
        </w:rPr>
        <w:t xml:space="preserve"> %, sektor pertanian 6,1</w:t>
      </w:r>
      <w:r w:rsidR="00B61BA8">
        <w:rPr>
          <w:rFonts w:asciiTheme="majorHAnsi" w:hAnsiTheme="majorHAnsi"/>
        </w:rPr>
        <w:t>7</w:t>
      </w:r>
      <w:r w:rsidR="00782F41" w:rsidRPr="000D5204">
        <w:rPr>
          <w:rFonts w:asciiTheme="majorHAnsi" w:hAnsiTheme="majorHAnsi"/>
        </w:rPr>
        <w:t xml:space="preserve"> %, dan sektor transportai 3,0</w:t>
      </w:r>
      <w:r w:rsidR="00B61BA8">
        <w:rPr>
          <w:rFonts w:asciiTheme="majorHAnsi" w:hAnsiTheme="majorHAnsi"/>
        </w:rPr>
        <w:t>9</w:t>
      </w:r>
      <w:r w:rsidR="00782F41" w:rsidRPr="000D5204">
        <w:rPr>
          <w:rFonts w:asciiTheme="majorHAnsi" w:hAnsiTheme="majorHAnsi"/>
        </w:rPr>
        <w:t xml:space="preserve"> %.</w:t>
      </w:r>
    </w:p>
    <w:p w:rsidR="00782F41" w:rsidRPr="000D5204" w:rsidRDefault="00782F41" w:rsidP="00782F41">
      <w:pPr>
        <w:pStyle w:val="ListParagraph"/>
        <w:spacing w:line="360" w:lineRule="auto"/>
        <w:ind w:left="426"/>
        <w:jc w:val="both"/>
        <w:rPr>
          <w:rFonts w:asciiTheme="majorHAnsi" w:hAnsiTheme="majorHAnsi"/>
        </w:rPr>
      </w:pPr>
    </w:p>
    <w:p w:rsidR="00CD01B1" w:rsidRPr="000D5204" w:rsidRDefault="001B534B" w:rsidP="00E96CF3">
      <w:pPr>
        <w:pStyle w:val="ListParagraph"/>
        <w:numPr>
          <w:ilvl w:val="0"/>
          <w:numId w:val="3"/>
        </w:numPr>
        <w:spacing w:line="360" w:lineRule="auto"/>
        <w:ind w:left="426"/>
        <w:jc w:val="both"/>
        <w:rPr>
          <w:rFonts w:asciiTheme="majorHAnsi" w:hAnsiTheme="majorHAnsi"/>
        </w:rPr>
      </w:pPr>
      <w:r w:rsidRPr="000D5204">
        <w:rPr>
          <w:rFonts w:asciiTheme="majorHAnsi" w:hAnsiTheme="majorHAnsi" w:cs="Arial"/>
          <w:noProof/>
          <w:lang w:eastAsia="id-ID"/>
        </w:rPr>
        <w:t>Dalam p</w:t>
      </w:r>
      <w:r w:rsidR="005A2DC7" w:rsidRPr="000D5204">
        <w:rPr>
          <w:rFonts w:asciiTheme="majorHAnsi" w:hAnsiTheme="majorHAnsi" w:cs="Arial"/>
          <w:noProof/>
          <w:lang w:eastAsia="id-ID"/>
        </w:rPr>
        <w:t>emetaan kelembagaan</w:t>
      </w:r>
      <w:r w:rsidR="005A2DC7" w:rsidRPr="000D5204">
        <w:rPr>
          <w:rFonts w:asciiTheme="majorHAnsi" w:hAnsiTheme="majorHAnsi" w:cs="Arial"/>
          <w:b/>
          <w:noProof/>
          <w:lang w:eastAsia="id-ID"/>
        </w:rPr>
        <w:t xml:space="preserve"> </w:t>
      </w:r>
      <w:r w:rsidR="005A2DC7" w:rsidRPr="000D5204">
        <w:rPr>
          <w:rFonts w:asciiTheme="majorHAnsi" w:hAnsiTheme="majorHAnsi" w:cs="Arial"/>
          <w:noProof/>
          <w:lang w:eastAsia="id-ID"/>
        </w:rPr>
        <w:t>dan pembagian peran antar stakeholder</w:t>
      </w:r>
      <w:r w:rsidRPr="000D5204">
        <w:rPr>
          <w:rFonts w:asciiTheme="majorHAnsi" w:hAnsiTheme="majorHAnsi" w:cs="Arial"/>
          <w:noProof/>
          <w:lang w:eastAsia="id-ID"/>
        </w:rPr>
        <w:t xml:space="preserve"> </w:t>
      </w:r>
      <w:r w:rsidRPr="000D5204">
        <w:rPr>
          <w:rFonts w:asciiTheme="majorHAnsi" w:hAnsiTheme="majorHAnsi" w:cstheme="minorHAnsi"/>
        </w:rPr>
        <w:t xml:space="preserve">untuk </w:t>
      </w:r>
      <w:r w:rsidR="00CD01B1" w:rsidRPr="000D5204">
        <w:rPr>
          <w:rFonts w:asciiTheme="majorHAnsi" w:hAnsiTheme="majorHAnsi" w:cstheme="minorHAnsi"/>
        </w:rPr>
        <w:t>implementasi RAD-GRK ini mengacu pada Undang-Undang No 23 tahun 2014 tentang Pemerintahan Daerah</w:t>
      </w:r>
      <w:r w:rsidRPr="000D5204">
        <w:rPr>
          <w:rFonts w:asciiTheme="majorHAnsi" w:hAnsiTheme="majorHAnsi" w:cstheme="minorHAnsi"/>
        </w:rPr>
        <w:t>, sebagai berikut :</w:t>
      </w:r>
      <w:r w:rsidR="00CD01B1" w:rsidRPr="000D5204">
        <w:rPr>
          <w:rFonts w:asciiTheme="majorHAnsi" w:hAnsiTheme="majorHAnsi" w:cstheme="minorHAnsi"/>
        </w:rPr>
        <w:t xml:space="preserve"> </w:t>
      </w:r>
    </w:p>
    <w:p w:rsidR="00CD01B1" w:rsidRPr="00CD01B1" w:rsidRDefault="00CD01B1" w:rsidP="00CD01B1">
      <w:pPr>
        <w:pStyle w:val="ListParagraph"/>
        <w:numPr>
          <w:ilvl w:val="0"/>
          <w:numId w:val="7"/>
        </w:numPr>
        <w:autoSpaceDE w:val="0"/>
        <w:autoSpaceDN w:val="0"/>
        <w:adjustRightInd w:val="0"/>
        <w:spacing w:after="0" w:line="360" w:lineRule="auto"/>
        <w:jc w:val="both"/>
        <w:rPr>
          <w:rFonts w:asciiTheme="majorHAnsi" w:hAnsiTheme="majorHAnsi" w:cstheme="minorHAnsi"/>
        </w:rPr>
      </w:pPr>
      <w:r w:rsidRPr="000D5204">
        <w:rPr>
          <w:rFonts w:asciiTheme="majorHAnsi" w:hAnsiTheme="majorHAnsi" w:cstheme="minorHAnsi"/>
        </w:rPr>
        <w:t>Dalam implementasi RAD GRK sektor kehutanan, kelembagaan yang</w:t>
      </w:r>
      <w:r w:rsidRPr="00CD01B1">
        <w:rPr>
          <w:rFonts w:asciiTheme="majorHAnsi" w:hAnsiTheme="majorHAnsi" w:cstheme="minorHAnsi"/>
        </w:rPr>
        <w:t xml:space="preserve"> diharapkan berpartisipasi dapat dikelompokan menjadi 2 kelompok besar, yaitu;</w:t>
      </w:r>
    </w:p>
    <w:p w:rsidR="00CD01B1" w:rsidRPr="003B37F6" w:rsidRDefault="00CD01B1" w:rsidP="00E96CF3">
      <w:pPr>
        <w:pStyle w:val="ListParagraph"/>
        <w:numPr>
          <w:ilvl w:val="0"/>
          <w:numId w:val="22"/>
        </w:numPr>
        <w:spacing w:after="0" w:line="360" w:lineRule="auto"/>
        <w:ind w:left="1134"/>
        <w:rPr>
          <w:rFonts w:asciiTheme="majorHAnsi" w:hAnsiTheme="majorHAnsi" w:cstheme="minorHAnsi"/>
        </w:rPr>
      </w:pPr>
      <w:r>
        <w:rPr>
          <w:rFonts w:asciiTheme="majorHAnsi" w:hAnsiTheme="majorHAnsi" w:cstheme="minorHAnsi"/>
        </w:rPr>
        <w:t xml:space="preserve">Kelembagaan pemerintah, yaitu </w:t>
      </w:r>
      <w:r w:rsidRPr="003B37F6">
        <w:rPr>
          <w:rFonts w:asciiTheme="majorHAnsi" w:hAnsiTheme="majorHAnsi" w:cstheme="minorHAnsi"/>
        </w:rPr>
        <w:t xml:space="preserve">Dinas Kehutanan, </w:t>
      </w:r>
      <w:r w:rsidRPr="003B37F6">
        <w:rPr>
          <w:rFonts w:asciiTheme="majorHAnsi" w:eastAsia="Times New Roman" w:hAnsiTheme="majorHAnsi" w:cstheme="minorHAnsi"/>
        </w:rPr>
        <w:t xml:space="preserve">BPDAS (Balai Pemeliharaan Daerah Aliran Sungai),  </w:t>
      </w:r>
      <w:r>
        <w:rPr>
          <w:rFonts w:asciiTheme="majorHAnsi" w:eastAsia="Times New Roman" w:hAnsiTheme="majorHAnsi" w:cstheme="minorHAnsi"/>
        </w:rPr>
        <w:t xml:space="preserve">dan </w:t>
      </w:r>
      <w:r w:rsidRPr="003B37F6">
        <w:rPr>
          <w:rFonts w:asciiTheme="majorHAnsi" w:eastAsia="Times New Roman" w:hAnsiTheme="majorHAnsi" w:cstheme="minorHAnsi"/>
        </w:rPr>
        <w:t>BKSDA (Balai Konservasi Sumber Daya Alam)</w:t>
      </w:r>
      <w:r>
        <w:rPr>
          <w:rFonts w:asciiTheme="majorHAnsi" w:eastAsia="Times New Roman" w:hAnsiTheme="majorHAnsi" w:cstheme="minorHAnsi"/>
        </w:rPr>
        <w:t>.</w:t>
      </w:r>
    </w:p>
    <w:p w:rsidR="00CD01B1" w:rsidRDefault="00CD01B1" w:rsidP="00E96CF3">
      <w:pPr>
        <w:pStyle w:val="ListParagraph"/>
        <w:numPr>
          <w:ilvl w:val="0"/>
          <w:numId w:val="22"/>
        </w:numPr>
        <w:spacing w:line="360" w:lineRule="auto"/>
        <w:ind w:left="1134"/>
        <w:contextualSpacing w:val="0"/>
        <w:rPr>
          <w:rFonts w:asciiTheme="majorHAnsi" w:hAnsiTheme="majorHAnsi" w:cstheme="minorHAnsi"/>
        </w:rPr>
      </w:pPr>
      <w:r w:rsidRPr="003B37F6">
        <w:rPr>
          <w:rFonts w:asciiTheme="majorHAnsi" w:hAnsiTheme="majorHAnsi" w:cstheme="minorHAnsi"/>
        </w:rPr>
        <w:t>Kelembagaan masyarakat</w:t>
      </w:r>
      <w:r>
        <w:rPr>
          <w:rFonts w:asciiTheme="majorHAnsi" w:hAnsiTheme="majorHAnsi" w:cstheme="minorHAnsi"/>
        </w:rPr>
        <w:t xml:space="preserve">, yaitu </w:t>
      </w:r>
      <w:r w:rsidRPr="003B37F6">
        <w:rPr>
          <w:rFonts w:asciiTheme="majorHAnsi" w:hAnsiTheme="majorHAnsi" w:cstheme="minorHAnsi"/>
        </w:rPr>
        <w:t>koperasi, lembaga masyarakat desa hutan (LMDH) dan yang sejenis, organisasi kepemudaan, LSM dan perbankan.</w:t>
      </w:r>
    </w:p>
    <w:p w:rsidR="00CD01B1" w:rsidRPr="00CD01B1" w:rsidRDefault="00CD01B1" w:rsidP="00CD01B1">
      <w:pPr>
        <w:pStyle w:val="ListParagraph"/>
        <w:numPr>
          <w:ilvl w:val="0"/>
          <w:numId w:val="7"/>
        </w:numPr>
        <w:spacing w:line="360" w:lineRule="auto"/>
        <w:jc w:val="both"/>
        <w:rPr>
          <w:rFonts w:asciiTheme="majorHAnsi" w:hAnsiTheme="majorHAnsi" w:cstheme="minorHAnsi"/>
        </w:rPr>
      </w:pPr>
      <w:r w:rsidRPr="00CD01B1">
        <w:rPr>
          <w:rFonts w:asciiTheme="majorHAnsi" w:hAnsiTheme="majorHAnsi" w:cstheme="minorHAnsi"/>
        </w:rPr>
        <w:t>Dalam implementasi RAD GRK sektor pertanian, kelembagaan yang diharapkan berpartisipasi dapat dikelompokan menjadi 3 kelompok besar, yaitu;</w:t>
      </w:r>
    </w:p>
    <w:p w:rsidR="00CD01B1" w:rsidRPr="00E96CF3" w:rsidRDefault="00CD01B1" w:rsidP="00E96CF3">
      <w:pPr>
        <w:pStyle w:val="ListParagraph"/>
        <w:numPr>
          <w:ilvl w:val="0"/>
          <w:numId w:val="23"/>
        </w:numPr>
        <w:spacing w:after="0" w:line="360" w:lineRule="auto"/>
        <w:ind w:left="1134"/>
        <w:jc w:val="both"/>
        <w:rPr>
          <w:rFonts w:asciiTheme="majorHAnsi" w:hAnsiTheme="majorHAnsi" w:cstheme="minorHAnsi"/>
        </w:rPr>
      </w:pPr>
      <w:r w:rsidRPr="00E96CF3">
        <w:rPr>
          <w:rFonts w:asciiTheme="majorHAnsi" w:hAnsiTheme="majorHAnsi" w:cstheme="minorHAnsi"/>
        </w:rPr>
        <w:t xml:space="preserve">Kelembagaan Pemerintah, terdiri dari </w:t>
      </w:r>
      <w:r w:rsidRPr="00E96CF3">
        <w:rPr>
          <w:rFonts w:asciiTheme="majorHAnsi" w:hAnsiTheme="majorHAnsi" w:cstheme="minorHAnsi"/>
          <w:bCs/>
        </w:rPr>
        <w:t xml:space="preserve">Dinas Tanaman Pangan dan Hortikultura Provinsi Jawa Barat, Dinas Ketahanan Pangan dan Peternakan Provinsi Jawa Barat, </w:t>
      </w:r>
      <w:r w:rsidRPr="00E96CF3">
        <w:rPr>
          <w:rFonts w:asciiTheme="majorHAnsi" w:hAnsiTheme="majorHAnsi" w:cstheme="minorHAnsi"/>
        </w:rPr>
        <w:t xml:space="preserve"> dan Instansi yang membidangi sektor pertanian dan peternakan di  Kabupaten/Kota.</w:t>
      </w:r>
    </w:p>
    <w:p w:rsidR="00CD01B1" w:rsidRPr="00E96CF3" w:rsidRDefault="00CD01B1" w:rsidP="00E96CF3">
      <w:pPr>
        <w:pStyle w:val="ListParagraph"/>
        <w:numPr>
          <w:ilvl w:val="0"/>
          <w:numId w:val="23"/>
        </w:numPr>
        <w:autoSpaceDE w:val="0"/>
        <w:autoSpaceDN w:val="0"/>
        <w:adjustRightInd w:val="0"/>
        <w:spacing w:after="0" w:line="360" w:lineRule="auto"/>
        <w:ind w:left="1134"/>
        <w:jc w:val="both"/>
        <w:rPr>
          <w:rFonts w:asciiTheme="majorHAnsi" w:hAnsiTheme="majorHAnsi" w:cstheme="minorHAnsi"/>
        </w:rPr>
      </w:pPr>
      <w:r w:rsidRPr="00E96CF3">
        <w:rPr>
          <w:rFonts w:asciiTheme="majorHAnsi" w:hAnsiTheme="majorHAnsi" w:cstheme="minorHAnsi"/>
        </w:rPr>
        <w:t>Kelembagaan Swasta (industri pupuk).</w:t>
      </w:r>
    </w:p>
    <w:p w:rsidR="00CD01B1" w:rsidRPr="00E96CF3" w:rsidRDefault="00CD01B1" w:rsidP="00E96CF3">
      <w:pPr>
        <w:pStyle w:val="ListParagraph"/>
        <w:numPr>
          <w:ilvl w:val="0"/>
          <w:numId w:val="23"/>
        </w:numPr>
        <w:autoSpaceDE w:val="0"/>
        <w:autoSpaceDN w:val="0"/>
        <w:adjustRightInd w:val="0"/>
        <w:spacing w:after="0" w:line="360" w:lineRule="auto"/>
        <w:ind w:left="1134"/>
        <w:jc w:val="both"/>
        <w:rPr>
          <w:rFonts w:asciiTheme="majorHAnsi" w:hAnsiTheme="majorHAnsi" w:cstheme="minorHAnsi"/>
        </w:rPr>
      </w:pPr>
      <w:r w:rsidRPr="00E96CF3">
        <w:rPr>
          <w:rFonts w:asciiTheme="majorHAnsi" w:hAnsiTheme="majorHAnsi" w:cstheme="minorHAnsi"/>
        </w:rPr>
        <w:t>Kelembagaan Masyarakat (kelompok tani).</w:t>
      </w:r>
    </w:p>
    <w:p w:rsidR="00CD01B1" w:rsidRDefault="00CD01B1" w:rsidP="00E96CF3">
      <w:pPr>
        <w:pStyle w:val="ListParagraph"/>
        <w:numPr>
          <w:ilvl w:val="0"/>
          <w:numId w:val="23"/>
        </w:numPr>
        <w:autoSpaceDE w:val="0"/>
        <w:autoSpaceDN w:val="0"/>
        <w:adjustRightInd w:val="0"/>
        <w:spacing w:after="0" w:line="360" w:lineRule="auto"/>
        <w:ind w:left="1134"/>
        <w:jc w:val="both"/>
        <w:rPr>
          <w:rFonts w:asciiTheme="majorHAnsi" w:hAnsiTheme="majorHAnsi" w:cstheme="minorHAnsi"/>
        </w:rPr>
      </w:pPr>
      <w:r w:rsidRPr="00E96CF3">
        <w:rPr>
          <w:rFonts w:asciiTheme="majorHAnsi" w:hAnsiTheme="majorHAnsi" w:cstheme="minorHAnsi"/>
        </w:rPr>
        <w:t>LSM di sektor pertanian dan peternakan</w:t>
      </w:r>
      <w:r w:rsidR="00E96CF3">
        <w:rPr>
          <w:rFonts w:asciiTheme="majorHAnsi" w:hAnsiTheme="majorHAnsi" w:cstheme="minorHAnsi"/>
        </w:rPr>
        <w:t>.</w:t>
      </w:r>
    </w:p>
    <w:p w:rsidR="00E96CF3" w:rsidRPr="00E96CF3" w:rsidRDefault="00E96CF3" w:rsidP="00E96CF3">
      <w:pPr>
        <w:pStyle w:val="ListParagraph"/>
        <w:autoSpaceDE w:val="0"/>
        <w:autoSpaceDN w:val="0"/>
        <w:adjustRightInd w:val="0"/>
        <w:spacing w:after="0" w:line="360" w:lineRule="auto"/>
        <w:ind w:left="1134"/>
        <w:jc w:val="both"/>
        <w:rPr>
          <w:rFonts w:asciiTheme="majorHAnsi" w:hAnsiTheme="majorHAnsi" w:cstheme="minorHAnsi"/>
        </w:rPr>
      </w:pPr>
    </w:p>
    <w:p w:rsidR="00CD01B1" w:rsidRPr="00CD01B1" w:rsidRDefault="00CD01B1" w:rsidP="00CD01B1">
      <w:pPr>
        <w:pStyle w:val="ListParagraph"/>
        <w:numPr>
          <w:ilvl w:val="0"/>
          <w:numId w:val="7"/>
        </w:numPr>
        <w:spacing w:after="0" w:line="360" w:lineRule="auto"/>
        <w:jc w:val="both"/>
        <w:rPr>
          <w:rFonts w:asciiTheme="majorHAnsi" w:hAnsiTheme="majorHAnsi" w:cstheme="minorHAnsi"/>
        </w:rPr>
      </w:pPr>
      <w:r w:rsidRPr="00CD01B1">
        <w:rPr>
          <w:rFonts w:asciiTheme="majorHAnsi" w:hAnsiTheme="majorHAnsi" w:cstheme="minorHAnsi"/>
        </w:rPr>
        <w:lastRenderedPageBreak/>
        <w:t>Dalam rencana implementasi RAD GRK sektor Energi, kelembagaan yang diharapkan berpartisipasi adalah :</w:t>
      </w:r>
    </w:p>
    <w:p w:rsidR="00CD01B1" w:rsidRPr="00E96CF3" w:rsidRDefault="00CD01B1" w:rsidP="00E96CF3">
      <w:pPr>
        <w:pStyle w:val="ListParagraph"/>
        <w:numPr>
          <w:ilvl w:val="0"/>
          <w:numId w:val="24"/>
        </w:numPr>
        <w:spacing w:after="0" w:line="360" w:lineRule="auto"/>
        <w:ind w:left="1134"/>
        <w:jc w:val="both"/>
        <w:rPr>
          <w:rFonts w:asciiTheme="majorHAnsi" w:hAnsiTheme="majorHAnsi" w:cstheme="minorHAnsi"/>
        </w:rPr>
      </w:pPr>
      <w:r w:rsidRPr="00E96CF3">
        <w:rPr>
          <w:rFonts w:asciiTheme="majorHAnsi" w:hAnsiTheme="majorHAnsi" w:cstheme="minorHAnsi"/>
        </w:rPr>
        <w:t>Dinas Energi dan Sumber Daya Mineral/ESDM dan Cabang Dinas ESDM untuk program pe</w:t>
      </w:r>
      <w:r w:rsidRPr="00E96CF3">
        <w:rPr>
          <w:rFonts w:asciiTheme="majorHAnsi" w:eastAsia="Times New Roman" w:hAnsiTheme="majorHAnsi" w:cstheme="minorHAnsi"/>
          <w:bCs/>
        </w:rPr>
        <w:t>ngembangan pengadaan energi baru terbaharukan.</w:t>
      </w:r>
    </w:p>
    <w:p w:rsidR="00CD01B1" w:rsidRPr="00E96CF3" w:rsidRDefault="00CD01B1" w:rsidP="00E96CF3">
      <w:pPr>
        <w:pStyle w:val="ListParagraph"/>
        <w:numPr>
          <w:ilvl w:val="0"/>
          <w:numId w:val="24"/>
        </w:numPr>
        <w:spacing w:after="0" w:line="360" w:lineRule="auto"/>
        <w:ind w:left="1134"/>
        <w:jc w:val="both"/>
        <w:rPr>
          <w:rFonts w:asciiTheme="majorHAnsi" w:hAnsiTheme="majorHAnsi" w:cstheme="minorHAnsi"/>
        </w:rPr>
      </w:pPr>
      <w:r w:rsidRPr="00E96CF3">
        <w:rPr>
          <w:rFonts w:asciiTheme="majorHAnsi" w:eastAsia="Times New Roman" w:hAnsiTheme="majorHAnsi" w:cstheme="minorHAnsi"/>
          <w:bCs/>
        </w:rPr>
        <w:t>Dinas Perhubungan</w:t>
      </w:r>
      <w:r w:rsidRPr="00E96CF3">
        <w:rPr>
          <w:rFonts w:asciiTheme="majorHAnsi" w:hAnsiTheme="majorHAnsi" w:cstheme="minorHAnsi"/>
        </w:rPr>
        <w:t>, di tingkat provinsi maupun kabupaten/kota untuk program Penggunaan lampu hemat energi (LED/CFL).</w:t>
      </w:r>
    </w:p>
    <w:p w:rsidR="00CD01B1" w:rsidRPr="00E96CF3" w:rsidRDefault="00CD01B1" w:rsidP="00E96CF3">
      <w:pPr>
        <w:pStyle w:val="ListParagraph"/>
        <w:numPr>
          <w:ilvl w:val="0"/>
          <w:numId w:val="24"/>
        </w:numPr>
        <w:spacing w:after="0" w:line="360" w:lineRule="auto"/>
        <w:ind w:left="1134"/>
        <w:jc w:val="both"/>
        <w:rPr>
          <w:rFonts w:asciiTheme="majorHAnsi" w:hAnsiTheme="majorHAnsi" w:cstheme="minorHAnsi"/>
        </w:rPr>
      </w:pPr>
      <w:r w:rsidRPr="00E96CF3">
        <w:rPr>
          <w:rFonts w:asciiTheme="majorHAnsi" w:hAnsiTheme="majorHAnsi" w:cstheme="minorHAnsi"/>
        </w:rPr>
        <w:t>PT PLN (Persero) untuk pelaksana pembangunan pembangkit listrik dengan energi terbaharukan</w:t>
      </w:r>
      <w:r w:rsidR="00E96CF3">
        <w:rPr>
          <w:rFonts w:asciiTheme="majorHAnsi" w:hAnsiTheme="majorHAnsi" w:cstheme="minorHAnsi"/>
        </w:rPr>
        <w:t>.</w:t>
      </w:r>
    </w:p>
    <w:p w:rsidR="00CD01B1" w:rsidRPr="00E96CF3" w:rsidRDefault="00CD01B1" w:rsidP="00E96CF3">
      <w:pPr>
        <w:pStyle w:val="ListParagraph"/>
        <w:numPr>
          <w:ilvl w:val="0"/>
          <w:numId w:val="24"/>
        </w:numPr>
        <w:spacing w:after="0" w:line="360" w:lineRule="auto"/>
        <w:ind w:left="1134"/>
        <w:rPr>
          <w:rFonts w:ascii="Cambria" w:eastAsia="Times New Roman" w:hAnsi="Cambria" w:cstheme="minorHAnsi"/>
          <w:szCs w:val="20"/>
        </w:rPr>
      </w:pPr>
      <w:r w:rsidRPr="00E96CF3">
        <w:rPr>
          <w:rFonts w:ascii="Cambria" w:hAnsi="Cambria" w:cs="Arial"/>
          <w:szCs w:val="20"/>
          <w:shd w:val="clear" w:color="auto" w:fill="FFFFFF"/>
        </w:rPr>
        <w:t>Yayasan Rumah Energi (YRE) untuk program Biogas Untuk Rumah Tangga (BIRU) untuk program pemasyarakatan biogas</w:t>
      </w:r>
      <w:r w:rsidR="00E96CF3">
        <w:rPr>
          <w:rFonts w:ascii="Cambria" w:hAnsi="Cambria" w:cs="Arial"/>
          <w:szCs w:val="20"/>
          <w:shd w:val="clear" w:color="auto" w:fill="FFFFFF"/>
        </w:rPr>
        <w:t>.</w:t>
      </w:r>
      <w:r w:rsidRPr="00E96CF3">
        <w:rPr>
          <w:rFonts w:ascii="Cambria" w:hAnsi="Cambria" w:cs="Arial"/>
          <w:szCs w:val="20"/>
          <w:shd w:val="clear" w:color="auto" w:fill="FFFFFF"/>
        </w:rPr>
        <w:t xml:space="preserve"> </w:t>
      </w:r>
    </w:p>
    <w:p w:rsidR="00CD01B1" w:rsidRPr="00CD01B1" w:rsidRDefault="00CD01B1" w:rsidP="00CD01B1">
      <w:pPr>
        <w:pStyle w:val="ListParagraph"/>
        <w:numPr>
          <w:ilvl w:val="0"/>
          <w:numId w:val="7"/>
        </w:numPr>
        <w:spacing w:after="0" w:line="360" w:lineRule="auto"/>
        <w:jc w:val="both"/>
        <w:rPr>
          <w:rFonts w:asciiTheme="majorHAnsi" w:hAnsiTheme="majorHAnsi" w:cstheme="minorHAnsi"/>
        </w:rPr>
      </w:pPr>
      <w:r w:rsidRPr="00CD01B1">
        <w:rPr>
          <w:rFonts w:asciiTheme="majorHAnsi" w:hAnsiTheme="majorHAnsi" w:cstheme="minorHAnsi"/>
        </w:rPr>
        <w:t>Dalam implementasi RAD GRK sektor transportasi, kelembagaan yang diharapkan berpartisipasi dapat dikelompokan menjadi 4 kelompok besar, yaitu;</w:t>
      </w:r>
    </w:p>
    <w:p w:rsidR="00CD01B1" w:rsidRPr="00E96CF3" w:rsidRDefault="00CD01B1" w:rsidP="00E96CF3">
      <w:pPr>
        <w:pStyle w:val="ListParagraph"/>
        <w:numPr>
          <w:ilvl w:val="0"/>
          <w:numId w:val="25"/>
        </w:numPr>
        <w:spacing w:after="0" w:line="360" w:lineRule="auto"/>
        <w:ind w:left="1134"/>
        <w:jc w:val="both"/>
        <w:rPr>
          <w:rFonts w:asciiTheme="majorHAnsi" w:hAnsiTheme="majorHAnsi" w:cstheme="minorHAnsi"/>
        </w:rPr>
      </w:pPr>
      <w:r w:rsidRPr="00E96CF3">
        <w:rPr>
          <w:rFonts w:asciiTheme="majorHAnsi" w:hAnsiTheme="majorHAnsi" w:cstheme="minorHAnsi"/>
        </w:rPr>
        <w:t xml:space="preserve">Kelembagaan pemerintahan : </w:t>
      </w:r>
      <w:r w:rsidRPr="00E96CF3">
        <w:rPr>
          <w:rFonts w:asciiTheme="majorHAnsi" w:eastAsia="Times New Roman" w:hAnsiTheme="majorHAnsi" w:cstheme="minorHAnsi"/>
          <w:bCs/>
        </w:rPr>
        <w:t xml:space="preserve">Dinas perhubungan/Dinas Lalu Lintas Angkutan Jalan raya. </w:t>
      </w:r>
      <w:r w:rsidRPr="00E96CF3">
        <w:rPr>
          <w:rFonts w:asciiTheme="majorHAnsi" w:hAnsiTheme="majorHAnsi" w:cstheme="minorHAnsi"/>
        </w:rPr>
        <w:t>Keterlibatan lembaga pemerintah baik pusat maupun daerah dalam implementasi RD-GRK ini mengacu pada Undang-Undang No 23 tahun 2014 tentang Pemerintahan Daerah.</w:t>
      </w:r>
    </w:p>
    <w:p w:rsidR="00CD01B1" w:rsidRPr="00E96CF3" w:rsidRDefault="00CD01B1" w:rsidP="00E96CF3">
      <w:pPr>
        <w:pStyle w:val="ListParagraph"/>
        <w:numPr>
          <w:ilvl w:val="0"/>
          <w:numId w:val="25"/>
        </w:numPr>
        <w:spacing w:after="0" w:line="360" w:lineRule="auto"/>
        <w:ind w:left="1134"/>
        <w:jc w:val="both"/>
        <w:rPr>
          <w:rFonts w:asciiTheme="majorHAnsi" w:hAnsiTheme="majorHAnsi" w:cstheme="minorHAnsi"/>
        </w:rPr>
      </w:pPr>
      <w:r w:rsidRPr="00E96CF3">
        <w:rPr>
          <w:rFonts w:asciiTheme="majorHAnsi" w:hAnsiTheme="majorHAnsi" w:cstheme="minorHAnsi"/>
        </w:rPr>
        <w:t>Satuan Lalu Lintas Polres Kabupaten/ kota.</w:t>
      </w:r>
    </w:p>
    <w:p w:rsidR="00CD01B1" w:rsidRPr="00E96CF3" w:rsidRDefault="00CD01B1" w:rsidP="00E96CF3">
      <w:pPr>
        <w:pStyle w:val="ListParagraph"/>
        <w:numPr>
          <w:ilvl w:val="0"/>
          <w:numId w:val="25"/>
        </w:numPr>
        <w:spacing w:after="0" w:line="360" w:lineRule="auto"/>
        <w:ind w:left="1134"/>
        <w:jc w:val="both"/>
        <w:rPr>
          <w:rFonts w:asciiTheme="majorHAnsi" w:hAnsiTheme="majorHAnsi" w:cstheme="minorHAnsi"/>
        </w:rPr>
      </w:pPr>
      <w:r w:rsidRPr="00E96CF3">
        <w:rPr>
          <w:rFonts w:asciiTheme="majorHAnsi" w:eastAsia="Times New Roman" w:hAnsiTheme="majorHAnsi" w:cstheme="minorHAnsi"/>
          <w:bCs/>
        </w:rPr>
        <w:t>BUMN/Swasta yang menyediakan sistem informasi lalu lintas.</w:t>
      </w:r>
    </w:p>
    <w:p w:rsidR="00CD01B1" w:rsidRPr="00E96CF3" w:rsidRDefault="00CD01B1" w:rsidP="00E96CF3">
      <w:pPr>
        <w:pStyle w:val="ListParagraph"/>
        <w:numPr>
          <w:ilvl w:val="0"/>
          <w:numId w:val="25"/>
        </w:numPr>
        <w:spacing w:after="0" w:line="360" w:lineRule="auto"/>
        <w:ind w:left="1134"/>
        <w:jc w:val="both"/>
        <w:rPr>
          <w:rFonts w:asciiTheme="majorHAnsi" w:hAnsiTheme="majorHAnsi" w:cstheme="minorHAnsi"/>
        </w:rPr>
      </w:pPr>
      <w:r w:rsidRPr="00E96CF3">
        <w:rPr>
          <w:rFonts w:asciiTheme="majorHAnsi" w:eastAsia="Times New Roman" w:hAnsiTheme="majorHAnsi" w:cstheme="minorHAnsi"/>
          <w:bCs/>
        </w:rPr>
        <w:t>Swasta pelaku usaha transportasi.</w:t>
      </w:r>
    </w:p>
    <w:p w:rsidR="00051D49" w:rsidRPr="00051D49" w:rsidRDefault="00051D49" w:rsidP="00051D49">
      <w:pPr>
        <w:pStyle w:val="ListParagraph"/>
        <w:numPr>
          <w:ilvl w:val="0"/>
          <w:numId w:val="7"/>
        </w:numPr>
        <w:spacing w:after="0" w:line="360" w:lineRule="auto"/>
        <w:jc w:val="both"/>
        <w:rPr>
          <w:rFonts w:asciiTheme="majorHAnsi" w:hAnsiTheme="majorHAnsi" w:cstheme="minorHAnsi"/>
        </w:rPr>
      </w:pPr>
      <w:r w:rsidRPr="00051D49">
        <w:rPr>
          <w:rFonts w:asciiTheme="majorHAnsi" w:hAnsiTheme="majorHAnsi" w:cstheme="minorHAnsi"/>
        </w:rPr>
        <w:t>Dalam implementasi RAD GRK sektor Limbah, kelembagaan yang diharapkan berpartisipasi dapat dikelompokan menjadi 2 kelompok besar, yaitu:</w:t>
      </w:r>
    </w:p>
    <w:p w:rsidR="00051D49" w:rsidRPr="00E96CF3" w:rsidRDefault="00051D49" w:rsidP="00E96CF3">
      <w:pPr>
        <w:pStyle w:val="ListParagraph"/>
        <w:numPr>
          <w:ilvl w:val="0"/>
          <w:numId w:val="26"/>
        </w:numPr>
        <w:spacing w:after="0" w:line="360" w:lineRule="auto"/>
        <w:ind w:left="1134"/>
        <w:jc w:val="both"/>
        <w:rPr>
          <w:rFonts w:asciiTheme="majorHAnsi" w:hAnsiTheme="majorHAnsi" w:cstheme="minorHAnsi"/>
        </w:rPr>
      </w:pPr>
      <w:r w:rsidRPr="00E96CF3">
        <w:rPr>
          <w:rFonts w:asciiTheme="majorHAnsi" w:hAnsiTheme="majorHAnsi" w:cstheme="minorHAnsi"/>
        </w:rPr>
        <w:t xml:space="preserve">Kelembagaan pemerintahan : </w:t>
      </w:r>
      <w:r w:rsidRPr="00E96CF3">
        <w:rPr>
          <w:rFonts w:asciiTheme="majorHAnsi" w:eastAsia="Times New Roman" w:hAnsiTheme="majorHAnsi" w:cstheme="minorHAnsi"/>
          <w:bCs/>
        </w:rPr>
        <w:t>Dinas Perumahan dan Permukiman Prov Jawa Barat</w:t>
      </w:r>
      <w:r w:rsidR="001E67C2" w:rsidRPr="00E96CF3">
        <w:rPr>
          <w:rFonts w:asciiTheme="majorHAnsi" w:eastAsia="Times New Roman" w:hAnsiTheme="majorHAnsi" w:cstheme="minorHAnsi"/>
          <w:bCs/>
        </w:rPr>
        <w:t xml:space="preserve"> (termasuk </w:t>
      </w:r>
      <w:r w:rsidR="001E67C2" w:rsidRPr="00E96CF3">
        <w:rPr>
          <w:rFonts w:asciiTheme="majorHAnsi" w:hAnsiTheme="majorHAnsi" w:cs="Arial"/>
          <w:shd w:val="clear" w:color="auto" w:fill="FFFFFF"/>
        </w:rPr>
        <w:t>Balai Pengelolaan Sampah Regional</w:t>
      </w:r>
      <w:r w:rsidR="001E67C2" w:rsidRPr="00E96CF3">
        <w:rPr>
          <w:rFonts w:ascii="Arial" w:hAnsi="Arial" w:cs="Arial"/>
          <w:color w:val="545454"/>
          <w:shd w:val="clear" w:color="auto" w:fill="FFFFFF"/>
        </w:rPr>
        <w:t>)</w:t>
      </w:r>
      <w:r w:rsidRPr="00E96CF3">
        <w:rPr>
          <w:rFonts w:asciiTheme="majorHAnsi" w:eastAsia="Times New Roman" w:hAnsiTheme="majorHAnsi" w:cstheme="minorHAnsi"/>
          <w:bCs/>
        </w:rPr>
        <w:t>, Dinas Cipta Karya/Dinas Kebersihan/Dinas PU, Badan Lingkungan Hidup, tingkat Kabupaten/kota.</w:t>
      </w:r>
    </w:p>
    <w:p w:rsidR="00051D49" w:rsidRPr="00E96CF3" w:rsidRDefault="00051D49" w:rsidP="00E96CF3">
      <w:pPr>
        <w:pStyle w:val="ListParagraph"/>
        <w:numPr>
          <w:ilvl w:val="0"/>
          <w:numId w:val="26"/>
        </w:numPr>
        <w:spacing w:after="0" w:line="360" w:lineRule="auto"/>
        <w:ind w:left="1134"/>
        <w:jc w:val="both"/>
        <w:rPr>
          <w:rFonts w:asciiTheme="majorHAnsi" w:hAnsiTheme="majorHAnsi" w:cstheme="minorHAnsi"/>
        </w:rPr>
      </w:pPr>
      <w:r w:rsidRPr="00E96CF3">
        <w:rPr>
          <w:rFonts w:asciiTheme="majorHAnsi" w:hAnsiTheme="majorHAnsi" w:cstheme="minorHAnsi"/>
        </w:rPr>
        <w:t>Keterlibatan lembaga pemerintah baik pusa</w:t>
      </w:r>
      <w:r w:rsidR="001E67C2" w:rsidRPr="00E96CF3">
        <w:rPr>
          <w:rFonts w:asciiTheme="majorHAnsi" w:hAnsiTheme="majorHAnsi" w:cstheme="minorHAnsi"/>
        </w:rPr>
        <w:t xml:space="preserve">    </w:t>
      </w:r>
      <w:r w:rsidRPr="00E96CF3">
        <w:rPr>
          <w:rFonts w:asciiTheme="majorHAnsi" w:hAnsiTheme="majorHAnsi" w:cstheme="minorHAnsi"/>
        </w:rPr>
        <w:t>t maupun daerah dalam implementasi RD-GRK ini mengacu pada Undang-Undang No 23 tahun 2014 tentang Pemerintahan Daerah.</w:t>
      </w:r>
    </w:p>
    <w:p w:rsidR="00051D49" w:rsidRPr="00E96CF3" w:rsidRDefault="00051D49" w:rsidP="00E96CF3">
      <w:pPr>
        <w:pStyle w:val="ListParagraph"/>
        <w:numPr>
          <w:ilvl w:val="0"/>
          <w:numId w:val="26"/>
        </w:numPr>
        <w:spacing w:after="0" w:line="360" w:lineRule="auto"/>
        <w:ind w:left="1134"/>
        <w:jc w:val="both"/>
        <w:rPr>
          <w:rFonts w:asciiTheme="majorHAnsi" w:hAnsiTheme="majorHAnsi" w:cstheme="minorHAnsi"/>
        </w:rPr>
      </w:pPr>
      <w:r w:rsidRPr="00E96CF3">
        <w:rPr>
          <w:rFonts w:asciiTheme="majorHAnsi" w:eastAsia="Times New Roman" w:hAnsiTheme="majorHAnsi" w:cstheme="minorHAnsi"/>
          <w:bCs/>
        </w:rPr>
        <w:t>Pelaku usaha di sektor daur ulang sampah/komposting.</w:t>
      </w:r>
    </w:p>
    <w:p w:rsidR="00E96CF3" w:rsidRPr="00E96CF3" w:rsidRDefault="00E96CF3" w:rsidP="00E96CF3">
      <w:pPr>
        <w:pStyle w:val="ListParagraph"/>
        <w:spacing w:after="0" w:line="360" w:lineRule="auto"/>
        <w:ind w:left="1134"/>
        <w:jc w:val="both"/>
        <w:rPr>
          <w:rFonts w:asciiTheme="majorHAnsi" w:hAnsiTheme="majorHAnsi" w:cstheme="minorHAnsi"/>
        </w:rPr>
      </w:pPr>
    </w:p>
    <w:p w:rsidR="00326BC5" w:rsidRPr="00CB7602" w:rsidRDefault="00C81A21" w:rsidP="00326BC5">
      <w:pPr>
        <w:pStyle w:val="ListParagraph"/>
        <w:numPr>
          <w:ilvl w:val="0"/>
          <w:numId w:val="3"/>
        </w:numPr>
        <w:spacing w:after="0" w:line="360" w:lineRule="auto"/>
        <w:ind w:left="354" w:hanging="357"/>
        <w:contextualSpacing w:val="0"/>
        <w:jc w:val="both"/>
        <w:rPr>
          <w:rFonts w:asciiTheme="majorHAnsi" w:hAnsiTheme="majorHAnsi"/>
        </w:rPr>
      </w:pPr>
      <w:r w:rsidRPr="00CB7602">
        <w:rPr>
          <w:rFonts w:asciiTheme="majorHAnsi" w:hAnsiTheme="majorHAnsi"/>
        </w:rPr>
        <w:t>Dilihat dari pertimbangan teknis, ekonomis, dan manfaat pembangunan,</w:t>
      </w:r>
      <w:r w:rsidR="005919BC" w:rsidRPr="00CB7602">
        <w:rPr>
          <w:rFonts w:asciiTheme="majorHAnsi" w:hAnsiTheme="majorHAnsi"/>
        </w:rPr>
        <w:t xml:space="preserve"> maka </w:t>
      </w:r>
      <w:r w:rsidR="005919BC" w:rsidRPr="00CB7602">
        <w:rPr>
          <w:rFonts w:asciiTheme="majorHAnsi" w:hAnsiTheme="majorHAnsi"/>
          <w:b/>
        </w:rPr>
        <w:t>skala prioritas</w:t>
      </w:r>
      <w:r w:rsidR="005919BC" w:rsidRPr="00CB7602">
        <w:rPr>
          <w:rFonts w:asciiTheme="majorHAnsi" w:hAnsiTheme="majorHAnsi"/>
        </w:rPr>
        <w:t xml:space="preserve"> </w:t>
      </w:r>
      <w:r w:rsidR="005A2DC7" w:rsidRPr="00CB7602">
        <w:rPr>
          <w:rFonts w:asciiTheme="majorHAnsi" w:hAnsiTheme="majorHAnsi"/>
        </w:rPr>
        <w:t xml:space="preserve">berdasarkan kebutuhan pendanaan dan penurunan emisi GRK yang dihasikannya </w:t>
      </w:r>
      <w:r w:rsidR="005919BC" w:rsidRPr="00CB7602">
        <w:rPr>
          <w:rFonts w:asciiTheme="majorHAnsi" w:hAnsiTheme="majorHAnsi"/>
        </w:rPr>
        <w:t xml:space="preserve">adalah sebagai berikut </w:t>
      </w:r>
      <w:r w:rsidR="005A2DC7" w:rsidRPr="00CB7602">
        <w:rPr>
          <w:rFonts w:asciiTheme="majorHAnsi" w:hAnsiTheme="majorHAnsi"/>
        </w:rPr>
        <w:t xml:space="preserve"> </w:t>
      </w:r>
      <w:r w:rsidR="005919BC" w:rsidRPr="00CB7602">
        <w:rPr>
          <w:rFonts w:asciiTheme="majorHAnsi" w:hAnsiTheme="majorHAnsi"/>
        </w:rPr>
        <w:t>:</w:t>
      </w:r>
      <w:r w:rsidR="005A2DC7" w:rsidRPr="00CB7602">
        <w:rPr>
          <w:rFonts w:asciiTheme="majorHAnsi" w:hAnsiTheme="majorHAnsi"/>
        </w:rPr>
        <w:t xml:space="preserve"> </w:t>
      </w:r>
    </w:p>
    <w:p w:rsidR="00C81A21" w:rsidRPr="00265208" w:rsidRDefault="005919BC" w:rsidP="00326BC5">
      <w:pPr>
        <w:pStyle w:val="ListParagraph"/>
        <w:numPr>
          <w:ilvl w:val="0"/>
          <w:numId w:val="21"/>
        </w:numPr>
        <w:spacing w:after="0" w:line="360" w:lineRule="auto"/>
        <w:contextualSpacing w:val="0"/>
        <w:jc w:val="both"/>
        <w:rPr>
          <w:rFonts w:asciiTheme="majorHAnsi" w:hAnsiTheme="majorHAnsi"/>
        </w:rPr>
      </w:pPr>
      <w:r w:rsidRPr="00265208">
        <w:rPr>
          <w:rFonts w:asciiTheme="majorHAnsi" w:hAnsiTheme="majorHAnsi"/>
          <w:b/>
        </w:rPr>
        <w:t>Priorita</w:t>
      </w:r>
      <w:r w:rsidR="005A2DC7" w:rsidRPr="00265208">
        <w:rPr>
          <w:rFonts w:asciiTheme="majorHAnsi" w:hAnsiTheme="majorHAnsi"/>
          <w:b/>
        </w:rPr>
        <w:t>s</w:t>
      </w:r>
      <w:r w:rsidRPr="00265208">
        <w:rPr>
          <w:rFonts w:asciiTheme="majorHAnsi" w:hAnsiTheme="majorHAnsi"/>
          <w:b/>
        </w:rPr>
        <w:t xml:space="preserve"> pertama</w:t>
      </w:r>
      <w:r w:rsidRPr="00CB7602">
        <w:rPr>
          <w:rFonts w:asciiTheme="majorHAnsi" w:hAnsiTheme="majorHAnsi"/>
        </w:rPr>
        <w:t xml:space="preserve"> dapat diberikan kepada </w:t>
      </w:r>
      <w:r w:rsidR="00C81A21" w:rsidRPr="0025616C">
        <w:rPr>
          <w:rFonts w:asciiTheme="majorHAnsi" w:hAnsiTheme="majorHAnsi"/>
          <w:b/>
        </w:rPr>
        <w:t>Sektor Kehutanan</w:t>
      </w:r>
      <w:r w:rsidR="00C81A21" w:rsidRPr="00CB7602">
        <w:rPr>
          <w:rFonts w:asciiTheme="majorHAnsi" w:hAnsiTheme="majorHAnsi"/>
        </w:rPr>
        <w:t xml:space="preserve"> sangat layak untuk dijadikan prioritas pertama, </w:t>
      </w:r>
      <w:r w:rsidR="00265208" w:rsidRPr="008D37F2">
        <w:rPr>
          <w:rFonts w:asciiTheme="majorHAnsi" w:hAnsiTheme="majorHAnsi" w:cstheme="minorHAnsi"/>
        </w:rPr>
        <w:t>karena kontribusi penurunan emisinya terbesar, tetapi biaya penurunan emisinya paling rendah dibandingkan dengan sektor lainnya.</w:t>
      </w:r>
    </w:p>
    <w:p w:rsidR="00265208" w:rsidRDefault="00265208" w:rsidP="00265208">
      <w:pPr>
        <w:pStyle w:val="ListParagraph"/>
        <w:numPr>
          <w:ilvl w:val="0"/>
          <w:numId w:val="21"/>
        </w:numPr>
        <w:spacing w:line="360" w:lineRule="auto"/>
        <w:jc w:val="both"/>
        <w:rPr>
          <w:rFonts w:asciiTheme="majorHAnsi" w:hAnsiTheme="majorHAnsi" w:cstheme="minorHAnsi"/>
        </w:rPr>
      </w:pPr>
      <w:r>
        <w:rPr>
          <w:rFonts w:asciiTheme="majorHAnsi" w:hAnsiTheme="majorHAnsi" w:cstheme="minorHAnsi"/>
          <w:b/>
        </w:rPr>
        <w:lastRenderedPageBreak/>
        <w:t>Prioritas Kedua</w:t>
      </w:r>
      <w:r>
        <w:rPr>
          <w:rFonts w:asciiTheme="majorHAnsi" w:hAnsiTheme="majorHAnsi" w:cstheme="minorHAnsi"/>
        </w:rPr>
        <w:t xml:space="preserve">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Limbah, </w:t>
      </w:r>
      <w:r w:rsidRPr="008D37F2">
        <w:rPr>
          <w:rFonts w:asciiTheme="majorHAnsi" w:hAnsiTheme="majorHAnsi" w:cstheme="minorHAnsi"/>
        </w:rPr>
        <w:t xml:space="preserve">karena </w:t>
      </w:r>
      <w:r>
        <w:rPr>
          <w:rFonts w:asciiTheme="majorHAnsi" w:hAnsiTheme="majorHAnsi" w:cstheme="minorHAnsi"/>
        </w:rPr>
        <w:t xml:space="preserve">penurunan emisinya ketiga terbesar setelah kehutanan dan energi, serta </w:t>
      </w:r>
      <w:r w:rsidRPr="008D37F2">
        <w:rPr>
          <w:rFonts w:asciiTheme="majorHAnsi" w:hAnsiTheme="majorHAnsi" w:cstheme="minorHAnsi"/>
        </w:rPr>
        <w:t xml:space="preserve">biaya penurunan emisi yang </w:t>
      </w:r>
      <w:r>
        <w:rPr>
          <w:rFonts w:asciiTheme="majorHAnsi" w:hAnsiTheme="majorHAnsi" w:cstheme="minorHAnsi"/>
        </w:rPr>
        <w:t>tidak terlalu tinggi dibandingkan biaya pada sektor energi.</w:t>
      </w:r>
    </w:p>
    <w:p w:rsidR="000D5204" w:rsidRPr="008D37F2" w:rsidRDefault="000D5204" w:rsidP="000D5204">
      <w:pPr>
        <w:pStyle w:val="ListParagraph"/>
        <w:numPr>
          <w:ilvl w:val="0"/>
          <w:numId w:val="21"/>
        </w:numPr>
        <w:spacing w:line="360" w:lineRule="auto"/>
        <w:jc w:val="both"/>
        <w:rPr>
          <w:rFonts w:asciiTheme="majorHAnsi" w:hAnsiTheme="majorHAnsi" w:cstheme="minorHAnsi"/>
        </w:rPr>
      </w:pPr>
      <w:r w:rsidRPr="008D37F2">
        <w:rPr>
          <w:rFonts w:asciiTheme="majorHAnsi" w:hAnsiTheme="majorHAnsi" w:cstheme="minorHAnsi"/>
          <w:b/>
        </w:rPr>
        <w:t xml:space="preserve">Prioritas </w:t>
      </w:r>
      <w:r>
        <w:rPr>
          <w:rFonts w:asciiTheme="majorHAnsi" w:hAnsiTheme="majorHAnsi" w:cstheme="minorHAnsi"/>
          <w:b/>
        </w:rPr>
        <w:t xml:space="preserve">Ketiga </w:t>
      </w:r>
      <w:r w:rsidRPr="008D37F2">
        <w:rPr>
          <w:rFonts w:asciiTheme="majorHAnsi" w:hAnsiTheme="majorHAnsi" w:cstheme="minorHAnsi"/>
        </w:rPr>
        <w:t xml:space="preserve">dapat diberikan kepada </w:t>
      </w:r>
      <w:r w:rsidRPr="008D37F2">
        <w:rPr>
          <w:rFonts w:asciiTheme="majorHAnsi" w:hAnsiTheme="majorHAnsi" w:cstheme="minorHAnsi"/>
          <w:b/>
        </w:rPr>
        <w:t>Sektor E</w:t>
      </w:r>
      <w:r>
        <w:rPr>
          <w:rFonts w:asciiTheme="majorHAnsi" w:hAnsiTheme="majorHAnsi" w:cstheme="minorHAnsi"/>
          <w:b/>
        </w:rPr>
        <w:t>n</w:t>
      </w:r>
      <w:r w:rsidRPr="008D37F2">
        <w:rPr>
          <w:rFonts w:asciiTheme="majorHAnsi" w:hAnsiTheme="majorHAnsi" w:cstheme="minorHAnsi"/>
          <w:b/>
        </w:rPr>
        <w:t>ergi</w:t>
      </w:r>
      <w:r w:rsidRPr="008D37F2">
        <w:rPr>
          <w:rFonts w:asciiTheme="majorHAnsi" w:hAnsiTheme="majorHAnsi" w:cstheme="minorHAnsi"/>
        </w:rPr>
        <w:t xml:space="preserve">, karena bila dilihat dari kontribusinya dalam penurunan emisi sangat signifikan, karena memang sektor energi merupakan penyumbang emisi gas rumah kaca terbesar di Jawa Barat ; tetapi konsekuensinya biaya investasi untuk penurunan emisi perlu dianggarkan cukup besar. </w:t>
      </w:r>
    </w:p>
    <w:p w:rsidR="00265208" w:rsidRDefault="00265208" w:rsidP="00265208">
      <w:pPr>
        <w:pStyle w:val="ListParagraph"/>
        <w:numPr>
          <w:ilvl w:val="0"/>
          <w:numId w:val="21"/>
        </w:numPr>
        <w:spacing w:line="360" w:lineRule="auto"/>
        <w:jc w:val="both"/>
        <w:rPr>
          <w:rFonts w:asciiTheme="majorHAnsi" w:hAnsiTheme="majorHAnsi" w:cstheme="minorHAnsi"/>
        </w:rPr>
      </w:pPr>
      <w:r w:rsidRPr="008D37F2">
        <w:rPr>
          <w:rFonts w:asciiTheme="majorHAnsi" w:hAnsiTheme="majorHAnsi" w:cstheme="minorHAnsi"/>
          <w:b/>
        </w:rPr>
        <w:t xml:space="preserve">Prioritas </w:t>
      </w:r>
      <w:r w:rsidR="000D5204">
        <w:rPr>
          <w:rFonts w:asciiTheme="majorHAnsi" w:hAnsiTheme="majorHAnsi" w:cstheme="minorHAnsi"/>
          <w:b/>
        </w:rPr>
        <w:t>Keempat</w:t>
      </w:r>
      <w:r w:rsidR="000D5204" w:rsidRPr="008D37F2">
        <w:rPr>
          <w:rFonts w:asciiTheme="majorHAnsi" w:hAnsiTheme="majorHAnsi" w:cstheme="minorHAnsi"/>
          <w:b/>
        </w:rPr>
        <w:t xml:space="preserve">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w:t>
      </w:r>
      <w:r>
        <w:rPr>
          <w:rFonts w:asciiTheme="majorHAnsi" w:hAnsiTheme="majorHAnsi" w:cstheme="minorHAnsi"/>
          <w:b/>
        </w:rPr>
        <w:t>Transportasi</w:t>
      </w:r>
      <w:r w:rsidRPr="008D37F2">
        <w:rPr>
          <w:rFonts w:asciiTheme="majorHAnsi" w:hAnsiTheme="majorHAnsi" w:cstheme="minorHAnsi"/>
        </w:rPr>
        <w:t xml:space="preserve">, karena memang sektor </w:t>
      </w:r>
      <w:r>
        <w:rPr>
          <w:rFonts w:asciiTheme="majorHAnsi" w:hAnsiTheme="majorHAnsi" w:cstheme="minorHAnsi"/>
        </w:rPr>
        <w:t xml:space="preserve">transportasi </w:t>
      </w:r>
      <w:r w:rsidRPr="008D37F2">
        <w:rPr>
          <w:rFonts w:asciiTheme="majorHAnsi" w:hAnsiTheme="majorHAnsi" w:cstheme="minorHAnsi"/>
        </w:rPr>
        <w:t>merupakan penyumbang emisi gas rumah kaca terbesar di Jawa Barat</w:t>
      </w:r>
      <w:r>
        <w:rPr>
          <w:rFonts w:asciiTheme="majorHAnsi" w:hAnsiTheme="majorHAnsi" w:cstheme="minorHAnsi"/>
        </w:rPr>
        <w:t>,</w:t>
      </w:r>
      <w:r w:rsidRPr="008D37F2">
        <w:rPr>
          <w:rFonts w:asciiTheme="majorHAnsi" w:hAnsiTheme="majorHAnsi" w:cstheme="minorHAnsi"/>
        </w:rPr>
        <w:t xml:space="preserve"> </w:t>
      </w:r>
      <w:r>
        <w:rPr>
          <w:rFonts w:asciiTheme="majorHAnsi" w:hAnsiTheme="majorHAnsi" w:cstheme="minorHAnsi"/>
        </w:rPr>
        <w:t xml:space="preserve">walaupun konstribusi penurunan emisinya terendah, tetapi </w:t>
      </w:r>
      <w:r w:rsidRPr="008D37F2">
        <w:rPr>
          <w:rFonts w:asciiTheme="majorHAnsi" w:hAnsiTheme="majorHAnsi" w:cstheme="minorHAnsi"/>
        </w:rPr>
        <w:t xml:space="preserve">biaya penurunan emisinya </w:t>
      </w:r>
      <w:r>
        <w:rPr>
          <w:rFonts w:asciiTheme="majorHAnsi" w:hAnsiTheme="majorHAnsi" w:cstheme="minorHAnsi"/>
        </w:rPr>
        <w:t xml:space="preserve">lebih kecil </w:t>
      </w:r>
      <w:r w:rsidRPr="008D37F2">
        <w:rPr>
          <w:rFonts w:asciiTheme="majorHAnsi" w:hAnsiTheme="majorHAnsi" w:cstheme="minorHAnsi"/>
        </w:rPr>
        <w:t xml:space="preserve">dibandingkan dengan </w:t>
      </w:r>
      <w:r>
        <w:rPr>
          <w:rFonts w:asciiTheme="majorHAnsi" w:hAnsiTheme="majorHAnsi" w:cstheme="minorHAnsi"/>
        </w:rPr>
        <w:t>sektor lain</w:t>
      </w:r>
      <w:r w:rsidRPr="008D37F2">
        <w:rPr>
          <w:rFonts w:asciiTheme="majorHAnsi" w:hAnsiTheme="majorHAnsi" w:cstheme="minorHAnsi"/>
        </w:rPr>
        <w:t>.</w:t>
      </w:r>
    </w:p>
    <w:p w:rsidR="00265208" w:rsidRDefault="00265208" w:rsidP="00265208">
      <w:pPr>
        <w:pStyle w:val="ListParagraph"/>
        <w:numPr>
          <w:ilvl w:val="0"/>
          <w:numId w:val="21"/>
        </w:numPr>
        <w:spacing w:line="360" w:lineRule="auto"/>
        <w:jc w:val="both"/>
        <w:rPr>
          <w:rFonts w:asciiTheme="majorHAnsi" w:hAnsiTheme="majorHAnsi" w:cstheme="minorHAnsi"/>
        </w:rPr>
      </w:pPr>
      <w:r>
        <w:rPr>
          <w:rFonts w:asciiTheme="majorHAnsi" w:hAnsiTheme="majorHAnsi" w:cstheme="minorHAnsi"/>
          <w:b/>
        </w:rPr>
        <w:t xml:space="preserve">Prioritas </w:t>
      </w:r>
      <w:r w:rsidR="000D5204">
        <w:rPr>
          <w:rFonts w:asciiTheme="majorHAnsi" w:hAnsiTheme="majorHAnsi" w:cstheme="minorHAnsi"/>
          <w:b/>
        </w:rPr>
        <w:t xml:space="preserve">Kelima </w:t>
      </w:r>
      <w:r w:rsidRPr="008D37F2">
        <w:rPr>
          <w:rFonts w:asciiTheme="majorHAnsi" w:hAnsiTheme="majorHAnsi" w:cstheme="minorHAnsi"/>
        </w:rPr>
        <w:t xml:space="preserve">dapat diberikan kepada </w:t>
      </w:r>
      <w:r w:rsidRPr="008D37F2">
        <w:rPr>
          <w:rFonts w:asciiTheme="majorHAnsi" w:hAnsiTheme="majorHAnsi" w:cstheme="minorHAnsi"/>
          <w:b/>
        </w:rPr>
        <w:t>Sektor Pertanian</w:t>
      </w:r>
      <w:r w:rsidRPr="008D37F2">
        <w:rPr>
          <w:rFonts w:asciiTheme="majorHAnsi" w:hAnsiTheme="majorHAnsi" w:cstheme="minorHAnsi"/>
        </w:rPr>
        <w:t xml:space="preserve">, dilihat dari biaya penurunan emisi yang cukup rendah dibandingkan dengan sektor energi dan </w:t>
      </w:r>
      <w:r>
        <w:rPr>
          <w:rFonts w:asciiTheme="majorHAnsi" w:hAnsiTheme="majorHAnsi" w:cstheme="minorHAnsi"/>
        </w:rPr>
        <w:t>sektor limbah</w:t>
      </w:r>
      <w:r w:rsidRPr="008D37F2">
        <w:rPr>
          <w:rFonts w:asciiTheme="majorHAnsi" w:hAnsiTheme="majorHAnsi" w:cstheme="minorHAnsi"/>
        </w:rPr>
        <w:t xml:space="preserve">. </w:t>
      </w:r>
    </w:p>
    <w:p w:rsidR="00326BC5" w:rsidRPr="005A2DC7" w:rsidRDefault="00326BC5" w:rsidP="00326BC5">
      <w:pPr>
        <w:pStyle w:val="ListParagraph"/>
        <w:spacing w:line="360" w:lineRule="auto"/>
        <w:ind w:left="390"/>
        <w:contextualSpacing w:val="0"/>
        <w:jc w:val="both"/>
        <w:rPr>
          <w:rFonts w:asciiTheme="majorHAnsi" w:hAnsiTheme="majorHAnsi"/>
        </w:rPr>
      </w:pPr>
    </w:p>
    <w:p w:rsidR="00592789" w:rsidRDefault="00685BEA" w:rsidP="00685BEA">
      <w:pPr>
        <w:pStyle w:val="Heading2"/>
        <w:numPr>
          <w:ilvl w:val="1"/>
          <w:numId w:val="2"/>
        </w:numPr>
        <w:spacing w:after="200"/>
      </w:pPr>
      <w:bookmarkStart w:id="2" w:name="_Toc530562741"/>
      <w:r>
        <w:t>Rekomendasi</w:t>
      </w:r>
      <w:bookmarkEnd w:id="2"/>
    </w:p>
    <w:p w:rsidR="00685BEA" w:rsidRDefault="00685BEA" w:rsidP="00685BEA">
      <w:pPr>
        <w:spacing w:line="360" w:lineRule="auto"/>
        <w:jc w:val="both"/>
        <w:rPr>
          <w:rFonts w:asciiTheme="majorHAnsi" w:hAnsiTheme="majorHAnsi"/>
        </w:rPr>
      </w:pPr>
      <w:r w:rsidRPr="00685BEA">
        <w:rPr>
          <w:rFonts w:asciiTheme="majorHAnsi" w:hAnsiTheme="majorHAnsi"/>
        </w:rPr>
        <w:t>Tindak lanjut dengan telah selesainya dokumen Kaji Ulang RAD GRK tada tahun 201</w:t>
      </w:r>
      <w:r>
        <w:rPr>
          <w:rFonts w:asciiTheme="majorHAnsi" w:hAnsiTheme="majorHAnsi"/>
        </w:rPr>
        <w:t>8</w:t>
      </w:r>
      <w:r w:rsidRPr="00685BEA">
        <w:rPr>
          <w:rFonts w:asciiTheme="majorHAnsi" w:hAnsiTheme="majorHAnsi"/>
        </w:rPr>
        <w:t xml:space="preserve"> adalah sebagai berikut :</w:t>
      </w:r>
    </w:p>
    <w:p w:rsidR="00685BEA" w:rsidRPr="00685BEA" w:rsidRDefault="00685BEA" w:rsidP="00685BEA">
      <w:pPr>
        <w:pStyle w:val="ListParagraph"/>
        <w:numPr>
          <w:ilvl w:val="0"/>
          <w:numId w:val="6"/>
        </w:numPr>
        <w:spacing w:line="360" w:lineRule="auto"/>
        <w:jc w:val="both"/>
        <w:rPr>
          <w:rFonts w:asciiTheme="majorHAnsi" w:hAnsiTheme="majorHAnsi"/>
        </w:rPr>
      </w:pPr>
      <w:r w:rsidRPr="00685BEA">
        <w:rPr>
          <w:rFonts w:asciiTheme="majorHAnsi" w:hAnsiTheme="majorHAnsi"/>
        </w:rPr>
        <w:t>Dengan adanya Undang Undang No. 23 tahun 2014 tentang Pemerinta</w:t>
      </w:r>
      <w:r w:rsidR="00C81A21">
        <w:rPr>
          <w:rFonts w:asciiTheme="majorHAnsi" w:hAnsiTheme="majorHAnsi"/>
        </w:rPr>
        <w:t>han Daerah, maka pada tahun 2018</w:t>
      </w:r>
      <w:r w:rsidRPr="00685BEA">
        <w:rPr>
          <w:rFonts w:asciiTheme="majorHAnsi" w:hAnsiTheme="majorHAnsi"/>
        </w:rPr>
        <w:t xml:space="preserve"> sudah diberlakukan penyesuaian SOTK pada semua SKPD. Dengan adanya penyesuaian SOT</w:t>
      </w:r>
      <w:r w:rsidR="00C81A21">
        <w:rPr>
          <w:rFonts w:asciiTheme="majorHAnsi" w:hAnsiTheme="majorHAnsi"/>
        </w:rPr>
        <w:t>K tersebut, maka pada Tahun 2018</w:t>
      </w:r>
      <w:r w:rsidRPr="00685BEA">
        <w:rPr>
          <w:rFonts w:asciiTheme="majorHAnsi" w:hAnsiTheme="majorHAnsi"/>
        </w:rPr>
        <w:t xml:space="preserve"> aspek kelembagaan untuk pelaksanaan RAD GRK perlu disesuaikan pula, termasuk susunan Pokja RAD GRK. </w:t>
      </w:r>
    </w:p>
    <w:p w:rsidR="00685BEA" w:rsidRDefault="00685BEA" w:rsidP="00685BEA">
      <w:pPr>
        <w:pStyle w:val="ListParagraph"/>
        <w:numPr>
          <w:ilvl w:val="0"/>
          <w:numId w:val="6"/>
        </w:numPr>
        <w:spacing w:line="360" w:lineRule="auto"/>
        <w:jc w:val="both"/>
        <w:rPr>
          <w:rFonts w:asciiTheme="majorHAnsi" w:hAnsiTheme="majorHAnsi"/>
        </w:rPr>
      </w:pPr>
      <w:r w:rsidRPr="00685BEA">
        <w:rPr>
          <w:rFonts w:asciiTheme="majorHAnsi" w:hAnsiTheme="majorHAnsi"/>
        </w:rPr>
        <w:t xml:space="preserve">Dengan telah terselesaikannya dokumen Kaji Ulang RAD GRK sebagai kegiatan Perumusan naskah akademis RAD GRK Provinsi Jawa Barat, maka tidak lanjut perlu dilakukan dengan membuat aturan mengenai Perubahan Peraturan Gubernur Jawa Barat no 56 tahun 2012 tentang RAD GRK Provinsi Jawa Barat. </w:t>
      </w:r>
    </w:p>
    <w:p w:rsidR="00592789" w:rsidRPr="00685BEA" w:rsidRDefault="00685BEA" w:rsidP="00685BEA">
      <w:pPr>
        <w:pStyle w:val="ListParagraph"/>
        <w:numPr>
          <w:ilvl w:val="0"/>
          <w:numId w:val="6"/>
        </w:numPr>
        <w:spacing w:line="360" w:lineRule="auto"/>
        <w:jc w:val="both"/>
        <w:rPr>
          <w:rFonts w:asciiTheme="majorHAnsi" w:hAnsiTheme="majorHAnsi"/>
        </w:rPr>
      </w:pPr>
      <w:r w:rsidRPr="00685BEA">
        <w:rPr>
          <w:rFonts w:asciiTheme="majorHAnsi" w:hAnsiTheme="majorHAnsi"/>
        </w:rPr>
        <w:t xml:space="preserve">Kegiatan Sosialisasi untuk pelaksanaan aksi mitigasi Emisi Gas Rumah Kaca yang melibatkan Tim Kelompok Kerja (POKJA), serta Satuan Kerja Perangkat Daerah terkait, Lembaga Sosial Masyarakat, Unsur Badan Usaha Milik Negara terkait, </w:t>
      </w:r>
      <w:r w:rsidR="00326BC5" w:rsidRPr="00685BEA">
        <w:rPr>
          <w:rFonts w:asciiTheme="majorHAnsi" w:hAnsiTheme="majorHAnsi"/>
        </w:rPr>
        <w:t>unsur swasta terkait, serta unsur masyarakat terkait perlu dilakuan untuk keberhasilan aksi i</w:t>
      </w:r>
      <w:r w:rsidRPr="00685BEA">
        <w:rPr>
          <w:rFonts w:asciiTheme="majorHAnsi" w:hAnsiTheme="majorHAnsi"/>
        </w:rPr>
        <w:t>ni</w:t>
      </w:r>
      <w:r w:rsidR="00C81A21">
        <w:rPr>
          <w:rFonts w:asciiTheme="majorHAnsi" w:hAnsiTheme="majorHAnsi"/>
        </w:rPr>
        <w:t>.</w:t>
      </w:r>
    </w:p>
    <w:p w:rsidR="005919BC" w:rsidRDefault="005919BC">
      <w:pPr>
        <w:rPr>
          <w:rFonts w:asciiTheme="majorHAnsi" w:hAnsiTheme="majorHAnsi"/>
        </w:rPr>
      </w:pPr>
      <w:r>
        <w:rPr>
          <w:rFonts w:asciiTheme="majorHAnsi" w:hAnsiTheme="majorHAnsi"/>
        </w:rPr>
        <w:br w:type="page"/>
      </w:r>
      <w:bookmarkStart w:id="3" w:name="_GoBack"/>
      <w:bookmarkEnd w:id="3"/>
    </w:p>
    <w:p w:rsidR="00592789" w:rsidRDefault="00592789" w:rsidP="00592789">
      <w:pPr>
        <w:spacing w:line="360" w:lineRule="auto"/>
        <w:rPr>
          <w:rFonts w:asciiTheme="majorHAnsi" w:hAnsiTheme="majorHAnsi"/>
        </w:rPr>
      </w:pPr>
    </w:p>
    <w:sdt>
      <w:sdtPr>
        <w:rPr>
          <w:rFonts w:asciiTheme="minorHAnsi" w:eastAsiaTheme="minorHAnsi" w:hAnsiTheme="minorHAnsi" w:cstheme="minorBidi"/>
          <w:b w:val="0"/>
          <w:bCs w:val="0"/>
          <w:color w:val="auto"/>
          <w:sz w:val="22"/>
          <w:szCs w:val="22"/>
          <w:lang w:val="id-ID" w:eastAsia="en-US"/>
        </w:rPr>
        <w:id w:val="631448724"/>
        <w:docPartObj>
          <w:docPartGallery w:val="Table of Contents"/>
          <w:docPartUnique/>
        </w:docPartObj>
      </w:sdtPr>
      <w:sdtEndPr>
        <w:rPr>
          <w:noProof/>
        </w:rPr>
      </w:sdtEndPr>
      <w:sdtContent>
        <w:p w:rsidR="009D2E27" w:rsidRDefault="009D2E27">
          <w:pPr>
            <w:pStyle w:val="TOCHeading"/>
          </w:pPr>
          <w:r>
            <w:t>Contents</w:t>
          </w:r>
        </w:p>
        <w:p w:rsidR="00F31B6C" w:rsidRDefault="009D2E27">
          <w:pPr>
            <w:pStyle w:val="TOC1"/>
            <w:tabs>
              <w:tab w:val="right" w:leader="dot" w:pos="9016"/>
            </w:tabs>
            <w:rPr>
              <w:rFonts w:eastAsiaTheme="minorEastAsia"/>
              <w:noProof/>
              <w:lang w:eastAsia="id-ID"/>
            </w:rPr>
          </w:pPr>
          <w:r>
            <w:fldChar w:fldCharType="begin"/>
          </w:r>
          <w:r>
            <w:instrText xml:space="preserve"> TOC \o "1-3" \h \z \u </w:instrText>
          </w:r>
          <w:r>
            <w:fldChar w:fldCharType="separate"/>
          </w:r>
          <w:hyperlink w:anchor="_Toc530562739" w:history="1">
            <w:r w:rsidR="00F31B6C" w:rsidRPr="003A580F">
              <w:rPr>
                <w:rStyle w:val="Hyperlink"/>
                <w:noProof/>
              </w:rPr>
              <w:t>BAB VI PENUTUP</w:t>
            </w:r>
            <w:r w:rsidR="00F31B6C">
              <w:rPr>
                <w:noProof/>
                <w:webHidden/>
              </w:rPr>
              <w:tab/>
            </w:r>
            <w:r w:rsidR="00F31B6C">
              <w:rPr>
                <w:noProof/>
                <w:webHidden/>
              </w:rPr>
              <w:fldChar w:fldCharType="begin"/>
            </w:r>
            <w:r w:rsidR="00F31B6C">
              <w:rPr>
                <w:noProof/>
                <w:webHidden/>
              </w:rPr>
              <w:instrText xml:space="preserve"> PAGEREF _Toc530562739 \h </w:instrText>
            </w:r>
            <w:r w:rsidR="00F31B6C">
              <w:rPr>
                <w:noProof/>
                <w:webHidden/>
              </w:rPr>
            </w:r>
            <w:r w:rsidR="00F31B6C">
              <w:rPr>
                <w:noProof/>
                <w:webHidden/>
              </w:rPr>
              <w:fldChar w:fldCharType="separate"/>
            </w:r>
            <w:r w:rsidR="00F31B6C">
              <w:rPr>
                <w:noProof/>
                <w:webHidden/>
              </w:rPr>
              <w:t>1</w:t>
            </w:r>
            <w:r w:rsidR="00F31B6C">
              <w:rPr>
                <w:noProof/>
                <w:webHidden/>
              </w:rPr>
              <w:fldChar w:fldCharType="end"/>
            </w:r>
          </w:hyperlink>
        </w:p>
        <w:p w:rsidR="00F31B6C" w:rsidRDefault="002605FD">
          <w:pPr>
            <w:pStyle w:val="TOC2"/>
            <w:tabs>
              <w:tab w:val="left" w:pos="880"/>
              <w:tab w:val="right" w:leader="dot" w:pos="9016"/>
            </w:tabs>
            <w:rPr>
              <w:rFonts w:eastAsiaTheme="minorEastAsia"/>
              <w:noProof/>
              <w:lang w:eastAsia="id-ID"/>
            </w:rPr>
          </w:pPr>
          <w:hyperlink w:anchor="_Toc530562740" w:history="1">
            <w:r w:rsidR="00F31B6C" w:rsidRPr="003A580F">
              <w:rPr>
                <w:rStyle w:val="Hyperlink"/>
                <w:noProof/>
              </w:rPr>
              <w:t>6.1.</w:t>
            </w:r>
            <w:r w:rsidR="00F31B6C">
              <w:rPr>
                <w:rFonts w:eastAsiaTheme="minorEastAsia"/>
                <w:noProof/>
                <w:lang w:eastAsia="id-ID"/>
              </w:rPr>
              <w:tab/>
            </w:r>
            <w:r w:rsidR="00F31B6C" w:rsidRPr="003A580F">
              <w:rPr>
                <w:rStyle w:val="Hyperlink"/>
                <w:noProof/>
              </w:rPr>
              <w:t>Kesimpulan</w:t>
            </w:r>
            <w:r w:rsidR="00F31B6C">
              <w:rPr>
                <w:noProof/>
                <w:webHidden/>
              </w:rPr>
              <w:tab/>
            </w:r>
            <w:r w:rsidR="00F31B6C">
              <w:rPr>
                <w:noProof/>
                <w:webHidden/>
              </w:rPr>
              <w:fldChar w:fldCharType="begin"/>
            </w:r>
            <w:r w:rsidR="00F31B6C">
              <w:rPr>
                <w:noProof/>
                <w:webHidden/>
              </w:rPr>
              <w:instrText xml:space="preserve"> PAGEREF _Toc530562740 \h </w:instrText>
            </w:r>
            <w:r w:rsidR="00F31B6C">
              <w:rPr>
                <w:noProof/>
                <w:webHidden/>
              </w:rPr>
            </w:r>
            <w:r w:rsidR="00F31B6C">
              <w:rPr>
                <w:noProof/>
                <w:webHidden/>
              </w:rPr>
              <w:fldChar w:fldCharType="separate"/>
            </w:r>
            <w:r w:rsidR="00F31B6C">
              <w:rPr>
                <w:noProof/>
                <w:webHidden/>
              </w:rPr>
              <w:t>1</w:t>
            </w:r>
            <w:r w:rsidR="00F31B6C">
              <w:rPr>
                <w:noProof/>
                <w:webHidden/>
              </w:rPr>
              <w:fldChar w:fldCharType="end"/>
            </w:r>
          </w:hyperlink>
        </w:p>
        <w:p w:rsidR="00F31B6C" w:rsidRDefault="002605FD">
          <w:pPr>
            <w:pStyle w:val="TOC2"/>
            <w:tabs>
              <w:tab w:val="left" w:pos="880"/>
              <w:tab w:val="right" w:leader="dot" w:pos="9016"/>
            </w:tabs>
            <w:rPr>
              <w:rFonts w:eastAsiaTheme="minorEastAsia"/>
              <w:noProof/>
              <w:lang w:eastAsia="id-ID"/>
            </w:rPr>
          </w:pPr>
          <w:hyperlink w:anchor="_Toc530562741" w:history="1">
            <w:r w:rsidR="00F31B6C" w:rsidRPr="003A580F">
              <w:rPr>
                <w:rStyle w:val="Hyperlink"/>
                <w:noProof/>
              </w:rPr>
              <w:t>6.2.</w:t>
            </w:r>
            <w:r w:rsidR="00F31B6C">
              <w:rPr>
                <w:rFonts w:eastAsiaTheme="minorEastAsia"/>
                <w:noProof/>
                <w:lang w:eastAsia="id-ID"/>
              </w:rPr>
              <w:tab/>
            </w:r>
            <w:r w:rsidR="00F31B6C" w:rsidRPr="003A580F">
              <w:rPr>
                <w:rStyle w:val="Hyperlink"/>
                <w:noProof/>
              </w:rPr>
              <w:t>Rekomendasi</w:t>
            </w:r>
            <w:r w:rsidR="00F31B6C">
              <w:rPr>
                <w:noProof/>
                <w:webHidden/>
              </w:rPr>
              <w:tab/>
            </w:r>
            <w:r w:rsidR="00F31B6C">
              <w:rPr>
                <w:noProof/>
                <w:webHidden/>
              </w:rPr>
              <w:fldChar w:fldCharType="begin"/>
            </w:r>
            <w:r w:rsidR="00F31B6C">
              <w:rPr>
                <w:noProof/>
                <w:webHidden/>
              </w:rPr>
              <w:instrText xml:space="preserve"> PAGEREF _Toc530562741 \h </w:instrText>
            </w:r>
            <w:r w:rsidR="00F31B6C">
              <w:rPr>
                <w:noProof/>
                <w:webHidden/>
              </w:rPr>
            </w:r>
            <w:r w:rsidR="00F31B6C">
              <w:rPr>
                <w:noProof/>
                <w:webHidden/>
              </w:rPr>
              <w:fldChar w:fldCharType="separate"/>
            </w:r>
            <w:r w:rsidR="00F31B6C">
              <w:rPr>
                <w:noProof/>
                <w:webHidden/>
              </w:rPr>
              <w:t>4</w:t>
            </w:r>
            <w:r w:rsidR="00F31B6C">
              <w:rPr>
                <w:noProof/>
                <w:webHidden/>
              </w:rPr>
              <w:fldChar w:fldCharType="end"/>
            </w:r>
          </w:hyperlink>
        </w:p>
        <w:p w:rsidR="009D2E27" w:rsidRDefault="009D2E27">
          <w:r>
            <w:rPr>
              <w:b/>
              <w:bCs/>
              <w:noProof/>
            </w:rPr>
            <w:fldChar w:fldCharType="end"/>
          </w:r>
        </w:p>
      </w:sdtContent>
    </w:sdt>
    <w:p w:rsidR="009D2E27" w:rsidRPr="00592789" w:rsidRDefault="009D2E27" w:rsidP="00592789">
      <w:pPr>
        <w:spacing w:line="360" w:lineRule="auto"/>
        <w:rPr>
          <w:rFonts w:asciiTheme="majorHAnsi" w:hAnsiTheme="majorHAnsi"/>
        </w:rPr>
      </w:pPr>
    </w:p>
    <w:sectPr w:rsidR="009D2E27" w:rsidRPr="0059278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5FD" w:rsidRDefault="002605FD" w:rsidP="00F84D87">
      <w:pPr>
        <w:spacing w:after="0" w:line="240" w:lineRule="auto"/>
      </w:pPr>
      <w:r>
        <w:separator/>
      </w:r>
    </w:p>
  </w:endnote>
  <w:endnote w:type="continuationSeparator" w:id="0">
    <w:p w:rsidR="002605FD" w:rsidRDefault="002605FD"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89" w:rsidRPr="00592789" w:rsidRDefault="00592789" w:rsidP="00CB7602">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00685BEA">
      <w:rPr>
        <w:rFonts w:asciiTheme="majorHAnsi" w:hAnsiTheme="majorHAnsi"/>
        <w:color w:val="000000" w:themeColor="text1"/>
        <w:lang w:val="id-ID"/>
      </w:rPr>
      <w:t>VI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B61BA8">
      <w:rPr>
        <w:rFonts w:asciiTheme="majorHAnsi" w:hAnsiTheme="majorHAnsi"/>
        <w:noProof/>
        <w:color w:val="000000" w:themeColor="text1"/>
      </w:rPr>
      <w:t>5</w:t>
    </w:r>
    <w:r w:rsidRPr="00592789">
      <w:rPr>
        <w:rFonts w:asciiTheme="majorHAnsi" w:hAnsiTheme="majorHAnsi"/>
        <w:noProof/>
        <w:color w:val="000000" w:themeColor="text1"/>
      </w:rPr>
      <w:fldChar w:fldCharType="end"/>
    </w:r>
  </w:p>
  <w:p w:rsidR="00592789" w:rsidRDefault="00592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5FD" w:rsidRDefault="002605FD" w:rsidP="00F84D87">
      <w:pPr>
        <w:spacing w:after="0" w:line="240" w:lineRule="auto"/>
      </w:pPr>
      <w:r>
        <w:separator/>
      </w:r>
    </w:p>
  </w:footnote>
  <w:footnote w:type="continuationSeparator" w:id="0">
    <w:p w:rsidR="002605FD" w:rsidRDefault="002605FD" w:rsidP="00F84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87" w:rsidRDefault="00F84D8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sidR="00592789">
          <w:rPr>
            <w:rFonts w:asciiTheme="majorHAnsi" w:hAnsiTheme="majorHAnsi"/>
            <w:color w:val="000000" w:themeColor="text1"/>
            <w:lang w:val="id-ID"/>
          </w:rPr>
          <w:t>, 2018</w:t>
        </w:r>
      </w:sdtContent>
    </w:sdt>
  </w:p>
  <w:p w:rsidR="00F84D87" w:rsidRDefault="00F84D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0890"/>
    <w:multiLevelType w:val="hybridMultilevel"/>
    <w:tmpl w:val="7096CE9E"/>
    <w:lvl w:ilvl="0" w:tplc="1A00BBD0">
      <w:start w:val="1"/>
      <w:numFmt w:val="bullet"/>
      <w:lvlText w:val=""/>
      <w:lvlJc w:val="left"/>
      <w:pPr>
        <w:ind w:left="1074" w:hanging="360"/>
      </w:pPr>
      <w:rPr>
        <w:rFonts w:ascii="Symbol" w:hAnsi="Symbol" w:hint="default"/>
      </w:rPr>
    </w:lvl>
    <w:lvl w:ilvl="1" w:tplc="04210003">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 w15:restartNumberingAfterBreak="0">
    <w:nsid w:val="194B7B07"/>
    <w:multiLevelType w:val="hybridMultilevel"/>
    <w:tmpl w:val="35C08CCE"/>
    <w:lvl w:ilvl="0" w:tplc="1A00BBD0">
      <w:start w:val="1"/>
      <w:numFmt w:val="bullet"/>
      <w:lvlText w:val=""/>
      <w:lvlJc w:val="left"/>
      <w:pPr>
        <w:ind w:left="714" w:hanging="360"/>
      </w:pPr>
      <w:rPr>
        <w:rFonts w:ascii="Symbol" w:hAnsi="Symbol" w:hint="default"/>
        <w:sz w:val="24"/>
      </w:r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2" w15:restartNumberingAfterBreak="0">
    <w:nsid w:val="19FF7171"/>
    <w:multiLevelType w:val="hybridMultilevel"/>
    <w:tmpl w:val="FB42D178"/>
    <w:lvl w:ilvl="0" w:tplc="73E81934">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6902669"/>
    <w:multiLevelType w:val="hybridMultilevel"/>
    <w:tmpl w:val="65F8364C"/>
    <w:lvl w:ilvl="0" w:tplc="EEBAE0D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7B5D60"/>
    <w:multiLevelType w:val="hybridMultilevel"/>
    <w:tmpl w:val="31866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450423"/>
    <w:multiLevelType w:val="hybridMultilevel"/>
    <w:tmpl w:val="AED46A78"/>
    <w:lvl w:ilvl="0" w:tplc="330E0B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0426CB6"/>
    <w:multiLevelType w:val="hybridMultilevel"/>
    <w:tmpl w:val="01B018A4"/>
    <w:lvl w:ilvl="0" w:tplc="9EE65854">
      <w:start w:val="1"/>
      <w:numFmt w:val="lowerLetter"/>
      <w:lvlText w:val="%1."/>
      <w:lvlJc w:val="left"/>
      <w:pPr>
        <w:ind w:left="714" w:hanging="360"/>
      </w:pPr>
      <w:rPr>
        <w:rFonts w:cs="Arial" w:hint="default"/>
        <w:sz w:val="24"/>
      </w:r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7" w15:restartNumberingAfterBreak="0">
    <w:nsid w:val="43166BD8"/>
    <w:multiLevelType w:val="hybridMultilevel"/>
    <w:tmpl w:val="181A0D08"/>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8" w15:restartNumberingAfterBreak="0">
    <w:nsid w:val="47ED12E9"/>
    <w:multiLevelType w:val="hybridMultilevel"/>
    <w:tmpl w:val="B14660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D72AEB"/>
    <w:multiLevelType w:val="hybridMultilevel"/>
    <w:tmpl w:val="78D02EEA"/>
    <w:lvl w:ilvl="0" w:tplc="04210001">
      <w:start w:val="1"/>
      <w:numFmt w:val="bullet"/>
      <w:lvlText w:val=""/>
      <w:lvlJc w:val="left"/>
      <w:pPr>
        <w:ind w:left="714" w:hanging="360"/>
      </w:pPr>
      <w:rPr>
        <w:rFonts w:ascii="Symbol" w:hAnsi="Symbol" w:hint="default"/>
        <w:sz w:val="24"/>
      </w:r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10" w15:restartNumberingAfterBreak="0">
    <w:nsid w:val="48FB7C17"/>
    <w:multiLevelType w:val="hybridMultilevel"/>
    <w:tmpl w:val="C2B2D3F0"/>
    <w:lvl w:ilvl="0" w:tplc="1A00BBD0">
      <w:start w:val="1"/>
      <w:numFmt w:val="bullet"/>
      <w:lvlText w:val=""/>
      <w:lvlJc w:val="left"/>
      <w:pPr>
        <w:ind w:left="714" w:hanging="360"/>
      </w:pPr>
      <w:rPr>
        <w:rFonts w:ascii="Symbol" w:hAnsi="Symbol" w:hint="default"/>
        <w:sz w:val="24"/>
      </w:r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11" w15:restartNumberingAfterBreak="0">
    <w:nsid w:val="4D1613E3"/>
    <w:multiLevelType w:val="hybridMultilevel"/>
    <w:tmpl w:val="5A004F66"/>
    <w:lvl w:ilvl="0" w:tplc="04210001">
      <w:start w:val="1"/>
      <w:numFmt w:val="bullet"/>
      <w:lvlText w:val=""/>
      <w:lvlJc w:val="left"/>
      <w:pPr>
        <w:ind w:left="1434" w:hanging="360"/>
      </w:pPr>
      <w:rPr>
        <w:rFonts w:ascii="Symbol" w:hAnsi="Symbol" w:hint="default"/>
      </w:rPr>
    </w:lvl>
    <w:lvl w:ilvl="1" w:tplc="04210003" w:tentative="1">
      <w:start w:val="1"/>
      <w:numFmt w:val="bullet"/>
      <w:lvlText w:val="o"/>
      <w:lvlJc w:val="left"/>
      <w:pPr>
        <w:ind w:left="2154" w:hanging="360"/>
      </w:pPr>
      <w:rPr>
        <w:rFonts w:ascii="Courier New" w:hAnsi="Courier New" w:cs="Courier New"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12" w15:restartNumberingAfterBreak="0">
    <w:nsid w:val="4EF438F6"/>
    <w:multiLevelType w:val="hybridMultilevel"/>
    <w:tmpl w:val="F35CAB82"/>
    <w:lvl w:ilvl="0" w:tplc="0E8A46D0">
      <w:start w:val="1"/>
      <w:numFmt w:val="lowerLetter"/>
      <w:lvlText w:val="%1."/>
      <w:lvlJc w:val="left"/>
      <w:pPr>
        <w:ind w:left="720" w:hanging="360"/>
      </w:pPr>
      <w:rPr>
        <w:rFonts w:cs="Times New Roman" w:hint="default"/>
        <w:b w:val="0"/>
        <w:i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453EDB"/>
    <w:multiLevelType w:val="hybridMultilevel"/>
    <w:tmpl w:val="140A0B1C"/>
    <w:lvl w:ilvl="0" w:tplc="04210001">
      <w:start w:val="1"/>
      <w:numFmt w:val="bullet"/>
      <w:lvlText w:val=""/>
      <w:lvlJc w:val="left"/>
      <w:pPr>
        <w:ind w:left="714" w:hanging="360"/>
      </w:pPr>
      <w:rPr>
        <w:rFonts w:ascii="Symbol" w:hAnsi="Symbol" w:hint="default"/>
        <w:sz w:val="24"/>
      </w:r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14" w15:restartNumberingAfterBreak="0">
    <w:nsid w:val="516673C5"/>
    <w:multiLevelType w:val="hybridMultilevel"/>
    <w:tmpl w:val="4A586D5A"/>
    <w:lvl w:ilvl="0" w:tplc="1A00BBD0">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31D3CF5"/>
    <w:multiLevelType w:val="hybridMultilevel"/>
    <w:tmpl w:val="454275D8"/>
    <w:lvl w:ilvl="0" w:tplc="955A1F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3534EE8"/>
    <w:multiLevelType w:val="hybridMultilevel"/>
    <w:tmpl w:val="A05C5C3A"/>
    <w:lvl w:ilvl="0" w:tplc="1A00BBD0">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6D02C75"/>
    <w:multiLevelType w:val="hybridMultilevel"/>
    <w:tmpl w:val="C2C812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84215A7"/>
    <w:multiLevelType w:val="hybridMultilevel"/>
    <w:tmpl w:val="CFB05062"/>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8DF33FA"/>
    <w:multiLevelType w:val="multilevel"/>
    <w:tmpl w:val="7DE67D3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28288F"/>
    <w:multiLevelType w:val="hybridMultilevel"/>
    <w:tmpl w:val="1D34A5FA"/>
    <w:lvl w:ilvl="0" w:tplc="0421000F">
      <w:start w:val="1"/>
      <w:numFmt w:val="decimal"/>
      <w:lvlText w:val="%1."/>
      <w:lvlJc w:val="left"/>
      <w:pPr>
        <w:ind w:left="720" w:hanging="360"/>
      </w:pPr>
    </w:lvl>
    <w:lvl w:ilvl="1" w:tplc="D7BC0472">
      <w:start w:val="1"/>
      <w:numFmt w:val="lowerLetter"/>
      <w:lvlText w:val="%2."/>
      <w:lvlJc w:val="left"/>
      <w:pPr>
        <w:ind w:left="1440" w:hanging="360"/>
      </w:pPr>
      <w:rPr>
        <w:rFonts w:hint="default"/>
        <w:color w:val="000000"/>
      </w:rPr>
    </w:lvl>
    <w:lvl w:ilvl="2" w:tplc="DCEE3A48">
      <w:start w:val="1"/>
      <w:numFmt w:val="decimal"/>
      <w:lvlText w:val="%3)"/>
      <w:lvlJc w:val="left"/>
      <w:pPr>
        <w:ind w:left="2340" w:hanging="360"/>
      </w:pPr>
      <w:rPr>
        <w:rFonts w:hint="default"/>
        <w:color w:val="00000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B231A1B"/>
    <w:multiLevelType w:val="hybridMultilevel"/>
    <w:tmpl w:val="61DA69B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2" w15:restartNumberingAfterBreak="0">
    <w:nsid w:val="64C522A2"/>
    <w:multiLevelType w:val="hybridMultilevel"/>
    <w:tmpl w:val="2F681D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0F0BC5"/>
    <w:multiLevelType w:val="hybridMultilevel"/>
    <w:tmpl w:val="6638CCD0"/>
    <w:lvl w:ilvl="0" w:tplc="1A00BBD0">
      <w:start w:val="1"/>
      <w:numFmt w:val="bullet"/>
      <w:lvlText w:val=""/>
      <w:lvlJc w:val="left"/>
      <w:pPr>
        <w:ind w:left="714" w:hanging="360"/>
      </w:pPr>
      <w:rPr>
        <w:rFonts w:ascii="Symbol" w:hAnsi="Symbol" w:hint="default"/>
        <w:sz w:val="24"/>
      </w:r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24" w15:restartNumberingAfterBreak="0">
    <w:nsid w:val="6D407939"/>
    <w:multiLevelType w:val="hybridMultilevel"/>
    <w:tmpl w:val="C2C812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9C42B49"/>
    <w:multiLevelType w:val="hybridMultilevel"/>
    <w:tmpl w:val="B19AD552"/>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num w:numId="1">
    <w:abstractNumId w:val="3"/>
  </w:num>
  <w:num w:numId="2">
    <w:abstractNumId w:val="19"/>
  </w:num>
  <w:num w:numId="3">
    <w:abstractNumId w:val="4"/>
  </w:num>
  <w:num w:numId="4">
    <w:abstractNumId w:val="15"/>
  </w:num>
  <w:num w:numId="5">
    <w:abstractNumId w:val="5"/>
  </w:num>
  <w:num w:numId="6">
    <w:abstractNumId w:val="8"/>
  </w:num>
  <w:num w:numId="7">
    <w:abstractNumId w:val="6"/>
  </w:num>
  <w:num w:numId="8">
    <w:abstractNumId w:val="24"/>
  </w:num>
  <w:num w:numId="9">
    <w:abstractNumId w:val="9"/>
  </w:num>
  <w:num w:numId="10">
    <w:abstractNumId w:val="1"/>
  </w:num>
  <w:num w:numId="11">
    <w:abstractNumId w:val="20"/>
  </w:num>
  <w:num w:numId="12">
    <w:abstractNumId w:val="16"/>
  </w:num>
  <w:num w:numId="13">
    <w:abstractNumId w:val="17"/>
  </w:num>
  <w:num w:numId="14">
    <w:abstractNumId w:val="23"/>
  </w:num>
  <w:num w:numId="15">
    <w:abstractNumId w:val="2"/>
  </w:num>
  <w:num w:numId="16">
    <w:abstractNumId w:val="10"/>
  </w:num>
  <w:num w:numId="17">
    <w:abstractNumId w:val="22"/>
  </w:num>
  <w:num w:numId="18">
    <w:abstractNumId w:val="0"/>
  </w:num>
  <w:num w:numId="19">
    <w:abstractNumId w:val="18"/>
  </w:num>
  <w:num w:numId="20">
    <w:abstractNumId w:val="14"/>
  </w:num>
  <w:num w:numId="21">
    <w:abstractNumId w:val="12"/>
  </w:num>
  <w:num w:numId="22">
    <w:abstractNumId w:val="13"/>
  </w:num>
  <w:num w:numId="23">
    <w:abstractNumId w:val="21"/>
  </w:num>
  <w:num w:numId="24">
    <w:abstractNumId w:val="7"/>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87"/>
    <w:rsid w:val="00051D49"/>
    <w:rsid w:val="000D5204"/>
    <w:rsid w:val="00156F8A"/>
    <w:rsid w:val="00183C95"/>
    <w:rsid w:val="001B19AE"/>
    <w:rsid w:val="001B534B"/>
    <w:rsid w:val="001E67C2"/>
    <w:rsid w:val="0025616C"/>
    <w:rsid w:val="002605FD"/>
    <w:rsid w:val="00265208"/>
    <w:rsid w:val="002D5C02"/>
    <w:rsid w:val="00326BC5"/>
    <w:rsid w:val="00415725"/>
    <w:rsid w:val="004A4258"/>
    <w:rsid w:val="004E5DD6"/>
    <w:rsid w:val="004F1EB1"/>
    <w:rsid w:val="004F79CF"/>
    <w:rsid w:val="005064FC"/>
    <w:rsid w:val="005919BC"/>
    <w:rsid w:val="00592789"/>
    <w:rsid w:val="005A2DC7"/>
    <w:rsid w:val="00606707"/>
    <w:rsid w:val="006338AF"/>
    <w:rsid w:val="00685BEA"/>
    <w:rsid w:val="006D4A91"/>
    <w:rsid w:val="00706A97"/>
    <w:rsid w:val="0077277E"/>
    <w:rsid w:val="00782F41"/>
    <w:rsid w:val="00995D0E"/>
    <w:rsid w:val="009B3F36"/>
    <w:rsid w:val="009D2E27"/>
    <w:rsid w:val="00B45A1B"/>
    <w:rsid w:val="00B50E1C"/>
    <w:rsid w:val="00B61BA8"/>
    <w:rsid w:val="00B753D8"/>
    <w:rsid w:val="00B92557"/>
    <w:rsid w:val="00BA7C24"/>
    <w:rsid w:val="00BC48B5"/>
    <w:rsid w:val="00BE5162"/>
    <w:rsid w:val="00C81A21"/>
    <w:rsid w:val="00C82023"/>
    <w:rsid w:val="00CB7602"/>
    <w:rsid w:val="00CD01B1"/>
    <w:rsid w:val="00DB755A"/>
    <w:rsid w:val="00DC43FF"/>
    <w:rsid w:val="00DC589A"/>
    <w:rsid w:val="00E80F2A"/>
    <w:rsid w:val="00E96CF3"/>
    <w:rsid w:val="00F31B6C"/>
    <w:rsid w:val="00F6701E"/>
    <w:rsid w:val="00F67B3E"/>
    <w:rsid w:val="00F84D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AF8497-E612-4D9C-B213-32DCB3C7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paragraph" w:styleId="ListParagraph">
    <w:name w:val="List Paragraph"/>
    <w:aliases w:val="tabel,kepala,ANNEX"/>
    <w:basedOn w:val="Normal"/>
    <w:link w:val="ListParagraphChar"/>
    <w:qFormat/>
    <w:rsid w:val="00685BEA"/>
    <w:pPr>
      <w:ind w:left="720"/>
      <w:contextualSpacing/>
    </w:pPr>
  </w:style>
  <w:style w:type="paragraph" w:styleId="TOCHeading">
    <w:name w:val="TOC Heading"/>
    <w:basedOn w:val="Heading1"/>
    <w:next w:val="Normal"/>
    <w:uiPriority w:val="39"/>
    <w:semiHidden/>
    <w:unhideWhenUsed/>
    <w:qFormat/>
    <w:rsid w:val="009D2E27"/>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9D2E27"/>
    <w:pPr>
      <w:spacing w:after="100"/>
    </w:pPr>
  </w:style>
  <w:style w:type="paragraph" w:styleId="TOC2">
    <w:name w:val="toc 2"/>
    <w:basedOn w:val="Normal"/>
    <w:next w:val="Normal"/>
    <w:autoRedefine/>
    <w:uiPriority w:val="39"/>
    <w:unhideWhenUsed/>
    <w:rsid w:val="009D2E27"/>
    <w:pPr>
      <w:spacing w:after="100"/>
      <w:ind w:left="220"/>
    </w:pPr>
  </w:style>
  <w:style w:type="character" w:styleId="Hyperlink">
    <w:name w:val="Hyperlink"/>
    <w:basedOn w:val="DefaultParagraphFont"/>
    <w:uiPriority w:val="99"/>
    <w:unhideWhenUsed/>
    <w:rsid w:val="009D2E27"/>
    <w:rPr>
      <w:color w:val="0000FF" w:themeColor="hyperlink"/>
      <w:u w:val="single"/>
    </w:rPr>
  </w:style>
  <w:style w:type="character" w:customStyle="1" w:styleId="ListParagraphChar">
    <w:name w:val="List Paragraph Char"/>
    <w:aliases w:val="tabel Char,kepala Char,ANNEX Char"/>
    <w:basedOn w:val="DefaultParagraphFont"/>
    <w:link w:val="ListParagraph"/>
    <w:rsid w:val="00CD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0AAFA-8966-4F71-88F4-1F53871A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Cici</cp:lastModifiedBy>
  <cp:revision>3</cp:revision>
  <dcterms:created xsi:type="dcterms:W3CDTF">2018-11-22T03:00:00Z</dcterms:created>
  <dcterms:modified xsi:type="dcterms:W3CDTF">2018-11-22T08:10:00Z</dcterms:modified>
</cp:coreProperties>
</file>