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pPr>
      <w:r>
        <w:rPr>
          <w:rFonts w:ascii="Times New Roman" w:hAnsi="Times New Roman"/>
          <w:b/>
          <w:i w:val="0"/>
          <w:color w:val="132A31"/>
          <w:sz w:val="32"/>
        </w:rPr>
        <w:t>ANJALAI AMMAL - MAHALINGAM ENGINEERING COLLEGE</w:t>
      </w:r>
    </w:p>
    <w:p>
      <w:pPr>
        <w:spacing w:after="280" w:line="276" w:lineRule="auto"/>
        <w:jc w:val="center"/>
      </w:pPr>
      <w:r>
        <w:rPr>
          <w:rFonts w:ascii="Times New Roman" w:hAnsi="Times New Roman"/>
          <w:b/>
          <w:i w:val="0"/>
          <w:color w:val="5C6E73"/>
          <w:sz w:val="24"/>
        </w:rPr>
        <w:t>KOILVENNI, THIRUVARUR DISTRICT – 614 403</w:t>
      </w:r>
    </w:p>
    <w:p>
      <w:pPr>
        <w:spacing w:after="280"/>
        <w:jc w:val="center"/>
      </w:pPr>
      <w:r>
        <w:drawing>
          <wp:inline xmlns:a="http://schemas.openxmlformats.org/drawingml/2006/main" xmlns:pic="http://schemas.openxmlformats.org/drawingml/2006/picture">
            <wp:extent cx="2011680" cy="1789734"/>
            <wp:docPr id="1" name="Picture 1"/>
            <wp:cNvGraphicFramePr>
              <a:graphicFrameLocks noChangeAspect="1"/>
            </wp:cNvGraphicFramePr>
            <a:graphic>
              <a:graphicData uri="http://schemas.openxmlformats.org/drawingml/2006/picture">
                <pic:pic>
                  <pic:nvPicPr>
                    <pic:cNvPr id="0" name="media_1787308310182.png"/>
                    <pic:cNvPicPr/>
                  </pic:nvPicPr>
                  <pic:blipFill>
                    <a:blip r:embed="rId11"/>
                    <a:stretch>
                      <a:fillRect/>
                    </a:stretch>
                  </pic:blipFill>
                  <pic:spPr>
                    <a:xfrm>
                      <a:off x="0" y="0"/>
                      <a:ext cx="2011680" cy="1789734"/>
                    </a:xfrm>
                    <a:prstGeom prst="rect"/>
                  </pic:spPr>
                </pic:pic>
              </a:graphicData>
            </a:graphic>
          </wp:inline>
        </w:drawing>
      </w:r>
    </w:p>
    <w:p>
      <w:pPr>
        <w:spacing w:after="360" w:line="276" w:lineRule="auto"/>
        <w:jc w:val="center"/>
      </w:pPr>
      <w:r>
        <w:rPr>
          <w:rFonts w:ascii="Times New Roman" w:hAnsi="Times New Roman"/>
          <w:b/>
          <w:i w:val="0"/>
          <w:color w:val="1F6F78"/>
          <w:sz w:val="28"/>
        </w:rPr>
        <w:t>DEPARTMENT OF COMPUTER SCIENCE AND ENGINEERING</w:t>
      </w:r>
    </w:p>
    <w:p>
      <w:pPr>
        <w:spacing w:after="120" w:line="276" w:lineRule="auto"/>
        <w:jc w:val="center"/>
      </w:pPr>
      <w:r>
        <w:rPr>
          <w:rFonts w:ascii="Times New Roman" w:hAnsi="Times New Roman"/>
          <w:b w:val="0"/>
          <w:i/>
          <w:color w:val="132A31"/>
          <w:sz w:val="24"/>
        </w:rPr>
        <w:t>PROJECT REPORT ON</w:t>
      </w:r>
    </w:p>
    <w:p>
      <w:pPr>
        <w:spacing w:after="400" w:line="276" w:lineRule="auto"/>
        <w:jc w:val="center"/>
      </w:pPr>
      <w:r>
        <w:rPr>
          <w:rFonts w:ascii="Times New Roman" w:hAnsi="Times New Roman"/>
          <w:b/>
          <w:i w:val="0"/>
          <w:color w:val="132A31"/>
          <w:sz w:val="30"/>
        </w:rPr>
        <w:t>MEDKNOW: ADVANCED HEALTHCARE KNOWLEDGE MANAGEMENT AND CLINICAL DECISION SUPPORT PLATFORM</w:t>
      </w:r>
    </w:p>
    <w:p>
      <w:pPr>
        <w:spacing w:after="80" w:line="276" w:lineRule="auto"/>
        <w:jc w:val="center"/>
      </w:pPr>
      <w:r>
        <w:rPr>
          <w:rFonts w:ascii="Times New Roman" w:hAnsi="Times New Roman"/>
          <w:b w:val="0"/>
          <w:i/>
          <w:color w:val="132A31"/>
          <w:sz w:val="22"/>
        </w:rPr>
        <w:t>Submitted in partial fulfillment of the requirements for the award of the degree of</w:t>
      </w:r>
    </w:p>
    <w:p>
      <w:pPr>
        <w:spacing w:after="40" w:line="276" w:lineRule="auto"/>
        <w:jc w:val="center"/>
      </w:pPr>
      <w:r>
        <w:rPr>
          <w:rFonts w:ascii="Times New Roman" w:hAnsi="Times New Roman"/>
          <w:b/>
          <w:i w:val="0"/>
          <w:color w:val="132A31"/>
          <w:sz w:val="26"/>
        </w:rPr>
        <w:t>BACHELOR OF ENGINEERING</w:t>
      </w:r>
    </w:p>
    <w:p>
      <w:pPr>
        <w:spacing w:after="40" w:line="276" w:lineRule="auto"/>
        <w:jc w:val="center"/>
      </w:pPr>
      <w:r>
        <w:rPr>
          <w:rFonts w:ascii="Times New Roman" w:hAnsi="Times New Roman"/>
          <w:b w:val="0"/>
          <w:i w:val="0"/>
          <w:color w:val="132A31"/>
          <w:sz w:val="22"/>
        </w:rPr>
        <w:t>IN</w:t>
      </w:r>
    </w:p>
    <w:p>
      <w:pPr>
        <w:spacing w:after="400" w:line="276" w:lineRule="auto"/>
        <w:jc w:val="center"/>
      </w:pPr>
      <w:r>
        <w:rPr>
          <w:rFonts w:ascii="Times New Roman" w:hAnsi="Times New Roman"/>
          <w:b/>
          <w:i w:val="0"/>
          <w:color w:val="132A31"/>
          <w:sz w:val="26"/>
        </w:rPr>
        <w:t>COMPUTER SCIENCE AND ENGINEERING</w:t>
      </w:r>
    </w:p>
    <w:p>
      <w:pPr>
        <w:spacing w:after="120" w:line="276" w:lineRule="auto"/>
        <w:jc w:val="center"/>
      </w:pPr>
      <w:r>
        <w:rPr>
          <w:rFonts w:ascii="Times New Roman" w:hAnsi="Times New Roman"/>
          <w:b/>
          <w:i w:val="0"/>
          <w:color w:val="132A31"/>
          <w:sz w:val="24"/>
        </w:rPr>
        <w:t>Submitted by Team:</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5E5E5"/>
          <w:insideV w:val="none"/>
          <w:left w:val="none"/>
          <w:right w:val="none"/>
        </w:tblBorders>
      </w:tblPr>
      <w:tblGrid>
        <w:gridCol w:w="4680"/>
        <w:gridCol w:w="4680"/>
      </w:tblGrid>
      <w:tr>
        <w:tc>
          <w:tcPr>
            <w:tcW w:type="dxa" w:w="4680"/>
            <w:shd w:fill="1F6F78"/>
            <w:tcMar>
              <w:top w:w="80" w:type="dxa"/>
              <w:bottom w:w="80" w:type="dxa"/>
              <w:left w:w="120" w:type="dxa"/>
              <w:right w:w="120" w:type="dxa"/>
            </w:tcMar>
          </w:tcPr>
          <w:p>
            <w:pPr>
              <w:jc w:val="center"/>
            </w:pPr>
            <w:r>
              <w:rPr>
                <w:rFonts w:ascii="Times New Roman" w:hAnsi="Times New Roman"/>
                <w:b/>
                <w:color w:val="FFFFFF"/>
                <w:sz w:val="22"/>
              </w:rPr>
              <w:t>STUDENT NAME</w:t>
            </w:r>
          </w:p>
        </w:tc>
        <w:tc>
          <w:tcPr>
            <w:tcW w:type="dxa" w:w="4680"/>
            <w:shd w:fill="1F6F78"/>
            <w:tcMar>
              <w:top w:w="80" w:type="dxa"/>
              <w:bottom w:w="80" w:type="dxa"/>
              <w:left w:w="120" w:type="dxa"/>
              <w:right w:w="120" w:type="dxa"/>
            </w:tcMar>
          </w:tcPr>
          <w:p>
            <w:pPr>
              <w:jc w:val="center"/>
            </w:pPr>
            <w:r>
              <w:rPr>
                <w:rFonts w:ascii="Times New Roman" w:hAnsi="Times New Roman"/>
                <w:b/>
                <w:color w:val="FFFFFF"/>
                <w:sz w:val="22"/>
              </w:rPr>
              <w:t>REGISTER NUMBER</w:t>
            </w:r>
          </w:p>
        </w:tc>
      </w:tr>
      <w:tr>
        <w:tc>
          <w:tcPr>
            <w:tcW w:type="dxa" w:w="4680"/>
            <w:shd w:fill="FFFFFF"/>
            <w:tcMar>
              <w:top w:w="60" w:type="dxa"/>
              <w:bottom w:w="60" w:type="dxa"/>
              <w:left w:w="120" w:type="dxa"/>
              <w:right w:w="120" w:type="dxa"/>
            </w:tcMar>
          </w:tcPr>
          <w:p>
            <w:pPr>
              <w:jc w:val="left"/>
            </w:pPr>
            <w:r>
              <w:rPr>
                <w:rFonts w:ascii="Times New Roman" w:hAnsi="Times New Roman"/>
                <w:b/>
                <w:sz w:val="22"/>
              </w:rPr>
              <w:t>MOHAMED ANWAR S</w:t>
            </w:r>
          </w:p>
        </w:tc>
        <w:tc>
          <w:tcPr>
            <w:tcW w:type="dxa" w:w="4680"/>
            <w:shd w:fill="FFFFFF"/>
            <w:tcMar>
              <w:top w:w="60" w:type="dxa"/>
              <w:bottom w:w="60" w:type="dxa"/>
              <w:left w:w="120" w:type="dxa"/>
              <w:right w:w="120" w:type="dxa"/>
            </w:tcMar>
          </w:tcPr>
          <w:p>
            <w:pPr>
              <w:jc w:val="center"/>
            </w:pPr>
            <w:r>
              <w:rPr>
                <w:rFonts w:ascii="Times New Roman" w:hAnsi="Times New Roman"/>
                <w:sz w:val="22"/>
              </w:rPr>
              <w:t>820423104050</w:t>
            </w:r>
          </w:p>
        </w:tc>
      </w:tr>
      <w:tr>
        <w:tc>
          <w:tcPr>
            <w:tcW w:type="dxa" w:w="4680"/>
            <w:shd w:fill="EFF3F1"/>
            <w:tcMar>
              <w:top w:w="60" w:type="dxa"/>
              <w:bottom w:w="60" w:type="dxa"/>
              <w:left w:w="120" w:type="dxa"/>
              <w:right w:w="120" w:type="dxa"/>
            </w:tcMar>
          </w:tcPr>
          <w:p>
            <w:pPr>
              <w:jc w:val="left"/>
            </w:pPr>
            <w:r>
              <w:rPr>
                <w:rFonts w:ascii="Times New Roman" w:hAnsi="Times New Roman"/>
                <w:b/>
                <w:sz w:val="22"/>
              </w:rPr>
              <w:t>MUGILAN</w:t>
            </w:r>
          </w:p>
        </w:tc>
        <w:tc>
          <w:tcPr>
            <w:tcW w:type="dxa" w:w="4680"/>
            <w:shd w:fill="EFF3F1"/>
            <w:tcMar>
              <w:top w:w="60" w:type="dxa"/>
              <w:bottom w:w="60" w:type="dxa"/>
              <w:left w:w="120" w:type="dxa"/>
              <w:right w:w="120" w:type="dxa"/>
            </w:tcMar>
          </w:tcPr>
          <w:p>
            <w:pPr>
              <w:jc w:val="center"/>
            </w:pPr>
            <w:r>
              <w:rPr>
                <w:rFonts w:ascii="Times New Roman" w:hAnsi="Times New Roman"/>
                <w:sz w:val="22"/>
              </w:rPr>
              <w:t>820423104054</w:t>
            </w:r>
          </w:p>
        </w:tc>
      </w:tr>
      <w:tr>
        <w:tc>
          <w:tcPr>
            <w:tcW w:type="dxa" w:w="4680"/>
            <w:shd w:fill="FFFFFF"/>
            <w:tcMar>
              <w:top w:w="60" w:type="dxa"/>
              <w:bottom w:w="60" w:type="dxa"/>
              <w:left w:w="120" w:type="dxa"/>
              <w:right w:w="120" w:type="dxa"/>
            </w:tcMar>
          </w:tcPr>
          <w:p>
            <w:pPr>
              <w:jc w:val="left"/>
            </w:pPr>
            <w:r>
              <w:rPr>
                <w:rFonts w:ascii="Times New Roman" w:hAnsi="Times New Roman"/>
                <w:b/>
                <w:sz w:val="22"/>
              </w:rPr>
              <w:t>NAVEEN S</w:t>
            </w:r>
          </w:p>
        </w:tc>
        <w:tc>
          <w:tcPr>
            <w:tcW w:type="dxa" w:w="4680"/>
            <w:shd w:fill="FFFFFF"/>
            <w:tcMar>
              <w:top w:w="60" w:type="dxa"/>
              <w:bottom w:w="60" w:type="dxa"/>
              <w:left w:w="120" w:type="dxa"/>
              <w:right w:w="120" w:type="dxa"/>
            </w:tcMar>
          </w:tcPr>
          <w:p>
            <w:pPr>
              <w:jc w:val="center"/>
            </w:pPr>
            <w:r>
              <w:rPr>
                <w:rFonts w:ascii="Times New Roman" w:hAnsi="Times New Roman"/>
                <w:sz w:val="22"/>
              </w:rPr>
              <w:t>820423104056</w:t>
            </w:r>
          </w:p>
        </w:tc>
      </w:tr>
    </w:tbl>
    <w:p>
      <w:pPr>
        <w:spacing w:after="0" w:line="276" w:lineRule="auto"/>
        <w:jc w:val="center"/>
      </w:pPr>
      <w:r>
        <w:rPr>
          <w:rFonts w:ascii="Times New Roman" w:hAnsi="Times New Roman"/>
          <w:b/>
          <w:i w:val="0"/>
          <w:color w:val="1F6F78"/>
          <w:sz w:val="24"/>
        </w:rPr>
        <w:br/>
        <w:t>ACADEMIC YEAR: 2025 – 2026</w:t>
      </w:r>
    </w:p>
    <w:p>
      <w:r>
        <w:br w:type="page"/>
      </w:r>
    </w:p>
    <w:p>
      <w:pPr>
        <w:spacing w:after="40" w:line="276" w:lineRule="auto"/>
        <w:jc w:val="center"/>
      </w:pPr>
      <w:r>
        <w:rPr>
          <w:rFonts w:ascii="Times New Roman" w:hAnsi="Times New Roman"/>
          <w:b/>
          <w:i w:val="0"/>
          <w:color w:val="132A31"/>
          <w:sz w:val="28"/>
        </w:rPr>
        <w:t>ANJALAI AMMAL - MAHALINGAM ENGINEERING COLLEGE</w:t>
      </w:r>
    </w:p>
    <w:p>
      <w:pPr>
        <w:spacing w:after="120" w:line="276" w:lineRule="auto"/>
        <w:jc w:val="center"/>
      </w:pPr>
      <w:r>
        <w:rPr>
          <w:rFonts w:ascii="Times New Roman" w:hAnsi="Times New Roman"/>
          <w:b/>
          <w:i w:val="0"/>
          <w:color w:val="5C6E73"/>
          <w:sz w:val="22"/>
        </w:rPr>
        <w:t>KOILVENNI, THIRUVARUR DISTRICT – 614 403</w:t>
      </w:r>
    </w:p>
    <w:p>
      <w:pPr>
        <w:spacing w:after="320" w:line="276" w:lineRule="auto"/>
        <w:jc w:val="center"/>
      </w:pPr>
      <w:r>
        <w:rPr>
          <w:rFonts w:ascii="Times New Roman" w:hAnsi="Times New Roman"/>
          <w:b/>
          <w:i w:val="0"/>
          <w:color w:val="1F6F78"/>
          <w:sz w:val="26"/>
        </w:rPr>
        <w:t>DEPARTMENT OF COMPUTER SCIENCE AND ENGINEERING</w:t>
      </w:r>
    </w:p>
    <w:p>
      <w:pPr>
        <w:keepNext/>
        <w:spacing w:before="320" w:after="160"/>
        <w:jc w:val="left"/>
      </w:pPr>
      <w:r>
        <w:rPr>
          <w:rFonts w:ascii="Times New Roman" w:hAnsi="Times New Roman"/>
          <w:b/>
          <w:color w:val="1F6F78"/>
          <w:sz w:val="28"/>
        </w:rPr>
        <w:t>BONAFIDE CERTIFICATE</w:t>
      </w:r>
    </w:p>
    <w:p>
      <w:pPr>
        <w:spacing w:after="600" w:line="276" w:lineRule="auto"/>
        <w:jc w:val="both"/>
      </w:pPr>
      <w:r>
        <w:rPr>
          <w:rFonts w:ascii="Times New Roman" w:hAnsi="Times New Roman"/>
          <w:b w:val="0"/>
          <w:i w:val="0"/>
          <w:color w:val="132A31"/>
          <w:sz w:val="24"/>
        </w:rPr>
        <w:t>Certified that this project report entitled "MEDKNOW: ADVANCED HEALTHCARE KNOWLEDGE MANAGEMENT AND CLINICAL DECISION SUPPORT PLATFORM" is the bonafide work of MOHAMED ANWAR S (Reg. No: 820423104050), MUGILAN (Reg. No: 820423104054), and NAVEEN S (Reg. No: 820423104056) who carried out the project work under my supervision.</w:t>
      </w: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sz w:val="22"/>
              </w:rPr>
              <w:t>SIGNATURE OF SUPERVISOR</w:t>
              <w:br/>
              <w:br/>
              <w:br/>
              <w:br/>
              <w:t>___________________________________</w:t>
              <w:br/>
              <w:t>PROJECT GUIDE</w:t>
              <w:br/>
              <w:t>Department of Computer Science &amp; Engg.</w:t>
              <w:br/>
              <w:t>AAMEC, Koilvenni</w:t>
            </w:r>
          </w:p>
        </w:tc>
        <w:tc>
          <w:tcPr>
            <w:tcW w:type="dxa" w:w="4680"/>
          </w:tcPr>
          <w:p>
            <w:pPr>
              <w:jc w:val="right"/>
            </w:pPr>
            <w:r>
              <w:rPr>
                <w:rFonts w:ascii="Times New Roman" w:hAnsi="Times New Roman"/>
                <w:sz w:val="22"/>
              </w:rPr>
              <w:t>SIGNATURE OF HEAD OF DEPARTMENT</w:t>
              <w:br/>
              <w:br/>
              <w:br/>
              <w:br/>
              <w:t>___________________________________</w:t>
              <w:br/>
              <w:t>HEAD OF THE DEPARTMENT</w:t>
              <w:br/>
              <w:t>Department of Computer Science &amp; Engg.</w:t>
              <w:br/>
              <w:t>AAMEC, Koilvenni</w:t>
            </w:r>
          </w:p>
        </w:tc>
      </w:tr>
    </w:tbl>
    <w:p>
      <w:pPr>
        <w:spacing w:after="400" w:line="276" w:lineRule="auto"/>
        <w:jc w:val="both"/>
      </w:pPr>
      <w:r>
        <w:rPr>
          <w:rFonts w:ascii="Times New Roman" w:hAnsi="Times New Roman"/>
          <w:b w:val="0"/>
          <w:i w:val="0"/>
          <w:color w:val="132A31"/>
          <w:sz w:val="24"/>
        </w:rPr>
        <w:br/>
        <w:br/>
        <w:t>Submitted for the Project Viva-Voce Examination held on ____________________.</w:t>
      </w:r>
    </w:p>
    <w:tbl>
      <w:tblPr>
        <w:tblW w:type="auto" w:w="0"/>
        <w:jc w:val="center"/>
        <w:tblLook w:firstColumn="1" w:firstRow="1" w:lastColumn="0" w:lastRow="0" w:noHBand="0" w:noVBand="1" w:val="04A0"/>
      </w:tblPr>
      <w:tblGrid>
        <w:gridCol w:w="4680"/>
        <w:gridCol w:w="4680"/>
      </w:tblGrid>
      <w:tr>
        <w:tc>
          <w:tcPr>
            <w:tcW w:type="dxa" w:w="4680"/>
          </w:tcPr>
          <w:p>
            <w:r>
              <w:t>INTERNAL EXAMINER</w:t>
              <w:br/>
              <w:t>________________________</w:t>
            </w:r>
          </w:p>
        </w:tc>
        <w:tc>
          <w:tcPr>
            <w:tcW w:type="dxa" w:w="4680"/>
          </w:tcPr>
          <w:p>
            <w:pPr>
              <w:jc w:val="right"/>
            </w:pPr>
            <w:r>
              <w:t>EXTERNAL EXAMINER</w:t>
              <w:br/>
              <w:t>________________________</w:t>
            </w:r>
          </w:p>
        </w:tc>
      </w:tr>
    </w:tbl>
    <w:p>
      <w:r>
        <w:br w:type="page"/>
      </w:r>
    </w:p>
    <w:p>
      <w:pPr>
        <w:keepNext/>
        <w:spacing w:before="320" w:after="160"/>
        <w:jc w:val="left"/>
      </w:pPr>
      <w:r>
        <w:rPr>
          <w:rFonts w:ascii="Times New Roman" w:hAnsi="Times New Roman"/>
          <w:b/>
          <w:color w:val="1F6F78"/>
          <w:sz w:val="28"/>
        </w:rPr>
        <w:t>CANDIDATE DECLARATION</w:t>
      </w:r>
    </w:p>
    <w:p>
      <w:pPr>
        <w:spacing w:after="280" w:line="276" w:lineRule="auto"/>
        <w:jc w:val="both"/>
      </w:pPr>
      <w:r>
        <w:rPr>
          <w:rFonts w:ascii="Times New Roman" w:hAnsi="Times New Roman"/>
          <w:b w:val="0"/>
          <w:i w:val="0"/>
          <w:color w:val="132A31"/>
          <w:sz w:val="24"/>
        </w:rPr>
        <w:t>We hereby declare that the project entitled "MEDKNOW: ADVANCED HEALTHCARE KNOWLEDGE MANAGEMENT AND CLINICAL DECISION SUPPORT PLATFORM" submitted to ANJALAI AMMAL - MAHALINGAM ENGINEERING COLLEGE in partial fulfillment of the requirements for the award of the Degree of Bachelor of Engineering in Computer Science and Engineering is a record of original work done by us under the guidance of our project supervisor.</w:t>
      </w:r>
    </w:p>
    <w:p>
      <w:pPr>
        <w:spacing w:after="600" w:line="276" w:lineRule="auto"/>
        <w:jc w:val="both"/>
      </w:pPr>
      <w:r>
        <w:rPr>
          <w:rFonts w:ascii="Times New Roman" w:hAnsi="Times New Roman"/>
          <w:b w:val="0"/>
          <w:i w:val="0"/>
          <w:color w:val="132A31"/>
          <w:sz w:val="24"/>
        </w:rPr>
        <w:t>This work has not been submitted elsewhere for any other degree, diploma, or fellowship. The information derived from literature and published research has been duly cited and acknowledged in the references section.</w:t>
      </w:r>
    </w:p>
    <w:tbl>
      <w:tblPr>
        <w:tblW w:type="auto" w:w="0"/>
        <w:jc w:val="center"/>
        <w:tblLook w:firstColumn="1" w:firstRow="1" w:lastColumn="0" w:lastRow="0" w:noHBand="0" w:noVBand="1" w:val="04A0"/>
      </w:tblPr>
      <w:tblGrid>
        <w:gridCol w:w="4680"/>
        <w:gridCol w:w="4680"/>
      </w:tblGrid>
      <w:tr>
        <w:tc>
          <w:tcPr>
            <w:tcW w:type="dxa" w:w="4680"/>
          </w:tcPr>
          <w:p>
            <w:pPr>
              <w:spacing w:after="160"/>
            </w:pPr>
            <w:r>
              <w:rPr>
                <w:b/>
              </w:rPr>
              <w:t>MOHAMED ANWAR S (820423104050)</w:t>
            </w:r>
          </w:p>
        </w:tc>
        <w:tc>
          <w:tcPr>
            <w:tcW w:type="dxa" w:w="4680"/>
          </w:tcPr>
          <w:p>
            <w:pPr>
              <w:spacing w:after="160"/>
              <w:jc w:val="right"/>
            </w:pPr>
            <w:r>
              <w:t>Signature: ______________________</w:t>
            </w:r>
          </w:p>
        </w:tc>
      </w:tr>
      <w:tr>
        <w:tc>
          <w:tcPr>
            <w:tcW w:type="dxa" w:w="4680"/>
          </w:tcPr>
          <w:p>
            <w:pPr>
              <w:spacing w:after="160"/>
            </w:pPr>
            <w:r>
              <w:rPr>
                <w:b/>
              </w:rPr>
              <w:t>MUGILAN (820423104054)</w:t>
            </w:r>
          </w:p>
        </w:tc>
        <w:tc>
          <w:tcPr>
            <w:tcW w:type="dxa" w:w="4680"/>
          </w:tcPr>
          <w:p>
            <w:pPr>
              <w:spacing w:after="160"/>
              <w:jc w:val="right"/>
            </w:pPr>
            <w:r>
              <w:t>Signature: ______________________</w:t>
            </w:r>
          </w:p>
        </w:tc>
      </w:tr>
      <w:tr>
        <w:tc>
          <w:tcPr>
            <w:tcW w:type="dxa" w:w="4680"/>
          </w:tcPr>
          <w:p>
            <w:pPr>
              <w:spacing w:after="160"/>
            </w:pPr>
            <w:r>
              <w:rPr>
                <w:b/>
              </w:rPr>
              <w:t>NAVEEN S (820423104056)</w:t>
            </w:r>
          </w:p>
        </w:tc>
        <w:tc>
          <w:tcPr>
            <w:tcW w:type="dxa" w:w="4680"/>
          </w:tcPr>
          <w:p>
            <w:pPr>
              <w:spacing w:after="160"/>
              <w:jc w:val="right"/>
            </w:pPr>
            <w:r>
              <w:t>Signature: ______________________</w:t>
            </w:r>
          </w:p>
        </w:tc>
      </w:tr>
    </w:tbl>
    <w:p>
      <w:pPr>
        <w:keepNext/>
        <w:spacing w:before="320" w:after="160"/>
        <w:jc w:val="left"/>
      </w:pPr>
      <w:r>
        <w:rPr>
          <w:rFonts w:ascii="Times New Roman" w:hAnsi="Times New Roman"/>
          <w:b/>
          <w:color w:val="1F6F78"/>
          <w:sz w:val="28"/>
        </w:rPr>
        <w:t>ACKNOWLEDGEMENT</w:t>
      </w:r>
    </w:p>
    <w:p>
      <w:pPr>
        <w:spacing w:after="200" w:line="276" w:lineRule="auto"/>
        <w:jc w:val="both"/>
      </w:pPr>
      <w:r>
        <w:rPr>
          <w:rFonts w:ascii="Times New Roman" w:hAnsi="Times New Roman"/>
          <w:b w:val="0"/>
          <w:i w:val="0"/>
          <w:color w:val="132A31"/>
          <w:sz w:val="24"/>
        </w:rPr>
        <w:t>First and foremost, we express our profound gratitude to the Management and Principal of ANJALAI AMMAL - MAHALINGAM ENGINEERING COLLEGE for providing exceptional infrastructural facilities and an encouraging academic atmosphere that enabled the successful completion of this project.</w:t>
      </w:r>
    </w:p>
    <w:p>
      <w:pPr>
        <w:spacing w:after="200" w:line="276" w:lineRule="auto"/>
        <w:jc w:val="both"/>
      </w:pPr>
      <w:r>
        <w:rPr>
          <w:rFonts w:ascii="Times New Roman" w:hAnsi="Times New Roman"/>
          <w:b w:val="0"/>
          <w:i w:val="0"/>
          <w:color w:val="132A31"/>
          <w:sz w:val="24"/>
        </w:rPr>
        <w:t>We express our heartfelt gratitude to the Head of the Department of Computer Science and Engineering for constant encouragement, administrative support, and constructive suggestions during the progress of this project.</w:t>
      </w:r>
    </w:p>
    <w:p>
      <w:pPr>
        <w:spacing w:after="200" w:line="276" w:lineRule="auto"/>
        <w:jc w:val="both"/>
      </w:pPr>
      <w:r>
        <w:rPr>
          <w:rFonts w:ascii="Times New Roman" w:hAnsi="Times New Roman"/>
          <w:b w:val="0"/>
          <w:i w:val="0"/>
          <w:color w:val="132A31"/>
          <w:sz w:val="24"/>
        </w:rPr>
        <w:t>We are immensely grateful to our Project Guide for valuable guidance, scholarly advice, and insightful technical recommendations that molded the conceptualization, system architecture, and clinical workflow formulation of the MedKnow platform.</w:t>
      </w:r>
    </w:p>
    <w:p>
      <w:pPr>
        <w:spacing w:after="280" w:line="276" w:lineRule="auto"/>
        <w:jc w:val="both"/>
      </w:pPr>
      <w:r>
        <w:rPr>
          <w:rFonts w:ascii="Times New Roman" w:hAnsi="Times New Roman"/>
          <w:b w:val="0"/>
          <w:i w:val="0"/>
          <w:color w:val="132A31"/>
          <w:sz w:val="24"/>
        </w:rPr>
        <w:t>Finally, we thank our parents, faculty members, lab technicians, and peers whose encouragement and support sustained our efforts throughout this endeavor.</w:t>
      </w:r>
    </w:p>
    <w:p>
      <w:r>
        <w:br w:type="page"/>
      </w:r>
    </w:p>
    <w:p>
      <w:pPr>
        <w:keepNext/>
        <w:spacing w:before="320" w:after="160"/>
        <w:jc w:val="left"/>
      </w:pPr>
      <w:r>
        <w:rPr>
          <w:rFonts w:ascii="Times New Roman" w:hAnsi="Times New Roman"/>
          <w:b/>
          <w:color w:val="1F6F78"/>
          <w:sz w:val="28"/>
        </w:rPr>
        <w:t>ABSTRACT</w:t>
      </w:r>
    </w:p>
    <w:p>
      <w:pPr>
        <w:spacing w:after="200" w:line="276" w:lineRule="auto"/>
        <w:jc w:val="both"/>
      </w:pPr>
      <w:r>
        <w:rPr>
          <w:rFonts w:ascii="Times New Roman" w:hAnsi="Times New Roman"/>
          <w:b w:val="0"/>
          <w:i w:val="0"/>
          <w:color w:val="132A31"/>
          <w:sz w:val="24"/>
        </w:rPr>
        <w:t>In contemporary tertiary healthcare settings, rapid medical advancements, high patient turnover, and distributed inter-professional teams make clinical knowledge management (KM) a mission-critical imperative. Fragmented clinical documentation, tacit procedural knowledge silos, high-alert medication errors, and time-critical resuscitation delays directly impact diagnostic accuracy and patient morbidity. Traditional Electronic Health Record (EHR) systems excel in longitudinal transaction logging but fail to capture, organize, peer-validate, and disseminate procedural knowledge assets.</w:t>
      </w:r>
    </w:p>
    <w:p>
      <w:pPr>
        <w:spacing w:after="200" w:line="276" w:lineRule="auto"/>
        <w:jc w:val="both"/>
      </w:pPr>
      <w:r>
        <w:rPr>
          <w:rFonts w:ascii="Times New Roman" w:hAnsi="Times New Roman"/>
          <w:b w:val="0"/>
          <w:i w:val="0"/>
          <w:color w:val="132A31"/>
          <w:sz w:val="24"/>
        </w:rPr>
        <w:t>This project presents MedKnow, a full-stack, cloud-architected Healthcare Knowledge Management and Clinical Decision Support System (CDSS) specifically engineered for hospital operations. MedKnow operationalizes the complete Knowledge Management lifecycle across seven distinct stages: Knowledge Capture, Storage, Organization, Multi-Tier Validation, Dissemination, Systematic Reuse, and Governance/Retirement.</w:t>
      </w:r>
    </w:p>
    <w:p>
      <w:pPr>
        <w:spacing w:after="200" w:line="276" w:lineRule="auto"/>
        <w:jc w:val="both"/>
      </w:pPr>
      <w:r>
        <w:rPr>
          <w:rFonts w:ascii="Times New Roman" w:hAnsi="Times New Roman"/>
          <w:b w:val="0"/>
          <w:i w:val="0"/>
          <w:color w:val="132A31"/>
          <w:sz w:val="24"/>
        </w:rPr>
        <w:t>The platform integrates five mathematical point-of-care medical calculators: the Quick SOFA (qSOFA) Sepsis Risk Engine, Cockcroft-Gault Creatinine Clearance (CrCl/GFR) Calculator, Body Mass Index (BMI) and Devine Ideal Body Weight (IBW) Formulations, Intravenous (IV) Infusion and Gravity Drip Rate Engine, and the Neonatal APGAR Score Assessor. MedKnow implements Role-Based Access Control (RBAC) across three staff tiers (Super Administrator / CMO, Contributor / Clinician, and Viewer / Nurse), Markdown clinical formatting with embedded triage callouts, automated line-by-line audit versioning with one-click snapshot restoration, a knowledge gap request system, and ward-level protocol print formatting.</w:t>
      </w:r>
    </w:p>
    <w:p>
      <w:pPr>
        <w:spacing w:after="280" w:line="276" w:lineRule="auto"/>
        <w:jc w:val="both"/>
      </w:pPr>
      <w:r>
        <w:rPr>
          <w:rFonts w:ascii="Times New Roman" w:hAnsi="Times New Roman"/>
          <w:b w:val="0"/>
          <w:i w:val="0"/>
          <w:color w:val="132A31"/>
          <w:sz w:val="24"/>
        </w:rPr>
        <w:t>The system is deployed on a zero-downtime cloud infrastructure utilizing Python Flask, SQLAlchemy ORM, Gunicorn WSGI, Reverse ProxyFix headers, and PostgreSQL/SQLite multi-database support. Live verification confirmed sub-50ms API query latency, 100% computational fidelity across medical equations, and seamless cross-platform responsive execution.</w:t>
      </w:r>
    </w:p>
    <w:p>
      <w:pPr>
        <w:spacing w:after="120" w:line="276" w:lineRule="auto"/>
        <w:jc w:val="both"/>
      </w:pPr>
      <w:r>
        <w:rPr>
          <w:rFonts w:ascii="Times New Roman" w:hAnsi="Times New Roman"/>
          <w:b w:val="0"/>
          <w:i/>
          <w:color w:val="132A31"/>
          <w:sz w:val="22"/>
        </w:rPr>
        <w:t>Keywords: Healthcare Knowledge Management, Clinical Decision Support System (CDSS), qSOFA Sepsis Bundle, Cockcroft-Gault GFR, Role-Based Access Control, Medical Knowledge Lifecycle, Cloud Deployment.</w:t>
      </w:r>
    </w:p>
    <w:p>
      <w:r>
        <w:br w:type="page"/>
      </w:r>
    </w:p>
    <w:p>
      <w:pPr>
        <w:keepNext/>
        <w:spacing w:before="320" w:after="160"/>
        <w:jc w:val="left"/>
      </w:pPr>
      <w:r>
        <w:rPr>
          <w:rFonts w:ascii="Times New Roman" w:hAnsi="Times New Roman"/>
          <w:b/>
          <w:color w:val="1F6F78"/>
          <w:sz w:val="28"/>
        </w:rPr>
        <w:t>TABLE OF CONTENTS</w:t>
      </w:r>
    </w:p>
    <w:tbl>
      <w:tblPr>
        <w:tblW w:type="auto" w:w="0"/>
        <w:jc w:val="center"/>
        <w:tblLook w:firstColumn="1" w:firstRow="1" w:lastColumn="0" w:lastRow="0" w:noHBand="0" w:noVBand="1" w:val="04A0"/>
      </w:tblPr>
      <w:tblGrid>
        <w:gridCol w:w="4680"/>
        <w:gridCol w:w="4680"/>
      </w:tblGrid>
      <w:tr>
        <w:tc>
          <w:tcPr>
            <w:tcW w:type="dxa" w:w="4680"/>
          </w:tcPr>
          <w:p>
            <w:pPr>
              <w:spacing w:after="40"/>
            </w:pPr>
            <w:r>
              <w:rPr>
                <w:rFonts w:ascii="Times New Roman" w:hAnsi="Times New Roman"/>
                <w:b/>
                <w:sz w:val="22"/>
              </w:rPr>
              <w:t>1. INTRODUCTION</w:t>
            </w:r>
          </w:p>
        </w:tc>
        <w:tc>
          <w:tcPr>
            <w:tcW w:type="dxa" w:w="4680"/>
          </w:tcPr>
          <w:p>
            <w:pPr>
              <w:spacing w:after="40"/>
              <w:jc w:val="right"/>
            </w:pPr>
            <w:r>
              <w:rPr>
                <w:rFonts w:ascii="Times New Roman" w:hAnsi="Times New Roman"/>
                <w:sz w:val="22"/>
              </w:rPr>
              <w:t>1</w:t>
            </w:r>
          </w:p>
        </w:tc>
      </w:tr>
      <w:tr>
        <w:tc>
          <w:tcPr>
            <w:tcW w:type="dxa" w:w="4680"/>
          </w:tcPr>
          <w:p>
            <w:pPr>
              <w:spacing w:after="40"/>
            </w:pPr>
            <w:r>
              <w:rPr>
                <w:rFonts w:ascii="Times New Roman" w:hAnsi="Times New Roman"/>
                <w:sz w:val="22"/>
              </w:rPr>
              <w:t xml:space="preserve">   1.1 Healthcare Knowledge Management Overview</w:t>
            </w:r>
          </w:p>
        </w:tc>
        <w:tc>
          <w:tcPr>
            <w:tcW w:type="dxa" w:w="4680"/>
          </w:tcPr>
          <w:p>
            <w:pPr>
              <w:spacing w:after="40"/>
              <w:jc w:val="right"/>
            </w:pPr>
            <w:r>
              <w:rPr>
                <w:rFonts w:ascii="Times New Roman" w:hAnsi="Times New Roman"/>
                <w:sz w:val="22"/>
              </w:rPr>
              <w:t>1</w:t>
            </w:r>
          </w:p>
        </w:tc>
      </w:tr>
      <w:tr>
        <w:tc>
          <w:tcPr>
            <w:tcW w:type="dxa" w:w="4680"/>
          </w:tcPr>
          <w:p>
            <w:pPr>
              <w:spacing w:after="40"/>
            </w:pPr>
            <w:r>
              <w:rPr>
                <w:rFonts w:ascii="Times New Roman" w:hAnsi="Times New Roman"/>
                <w:sz w:val="22"/>
              </w:rPr>
              <w:t xml:space="preserve">   1.2 Explicit vs. Tacit Knowledge in Clinical Settings</w:t>
            </w:r>
          </w:p>
        </w:tc>
        <w:tc>
          <w:tcPr>
            <w:tcW w:type="dxa" w:w="4680"/>
          </w:tcPr>
          <w:p>
            <w:pPr>
              <w:spacing w:after="40"/>
              <w:jc w:val="right"/>
            </w:pPr>
            <w:r>
              <w:rPr>
                <w:rFonts w:ascii="Times New Roman" w:hAnsi="Times New Roman"/>
                <w:sz w:val="22"/>
              </w:rPr>
              <w:t>2</w:t>
            </w:r>
          </w:p>
        </w:tc>
      </w:tr>
      <w:tr>
        <w:tc>
          <w:tcPr>
            <w:tcW w:type="dxa" w:w="4680"/>
          </w:tcPr>
          <w:p>
            <w:pPr>
              <w:spacing w:after="40"/>
            </w:pPr>
            <w:r>
              <w:rPr>
                <w:rFonts w:ascii="Times New Roman" w:hAnsi="Times New Roman"/>
                <w:sz w:val="22"/>
              </w:rPr>
              <w:t xml:space="preserve">   1.3 Problem Statement &amp; Motivation</w:t>
            </w:r>
          </w:p>
        </w:tc>
        <w:tc>
          <w:tcPr>
            <w:tcW w:type="dxa" w:w="4680"/>
          </w:tcPr>
          <w:p>
            <w:pPr>
              <w:spacing w:after="40"/>
              <w:jc w:val="right"/>
            </w:pPr>
            <w:r>
              <w:rPr>
                <w:rFonts w:ascii="Times New Roman" w:hAnsi="Times New Roman"/>
                <w:sz w:val="22"/>
              </w:rPr>
              <w:t>3</w:t>
            </w:r>
          </w:p>
        </w:tc>
      </w:tr>
      <w:tr>
        <w:tc>
          <w:tcPr>
            <w:tcW w:type="dxa" w:w="4680"/>
          </w:tcPr>
          <w:p>
            <w:pPr>
              <w:spacing w:after="40"/>
            </w:pPr>
            <w:r>
              <w:rPr>
                <w:rFonts w:ascii="Times New Roman" w:hAnsi="Times New Roman"/>
                <w:sz w:val="22"/>
              </w:rPr>
              <w:t xml:space="preserve">   1.4 Project Objectives &amp; Scope</w:t>
            </w:r>
          </w:p>
        </w:tc>
        <w:tc>
          <w:tcPr>
            <w:tcW w:type="dxa" w:w="4680"/>
          </w:tcPr>
          <w:p>
            <w:pPr>
              <w:spacing w:after="40"/>
              <w:jc w:val="right"/>
            </w:pPr>
            <w:r>
              <w:rPr>
                <w:rFonts w:ascii="Times New Roman" w:hAnsi="Times New Roman"/>
                <w:sz w:val="22"/>
              </w:rPr>
              <w:t>4</w:t>
            </w:r>
          </w:p>
        </w:tc>
      </w:tr>
      <w:tr>
        <w:tc>
          <w:tcPr>
            <w:tcW w:type="dxa" w:w="4680"/>
          </w:tcPr>
          <w:p>
            <w:pPr>
              <w:spacing w:after="40"/>
            </w:pPr>
            <w:r>
              <w:rPr>
                <w:rFonts w:ascii="Times New Roman" w:hAnsi="Times New Roman"/>
                <w:b/>
                <w:sz w:val="22"/>
              </w:rPr>
              <w:t>2. LITERATURE REVIEW &amp; BACKGROUND STUDY</w:t>
            </w:r>
          </w:p>
        </w:tc>
        <w:tc>
          <w:tcPr>
            <w:tcW w:type="dxa" w:w="4680"/>
          </w:tcPr>
          <w:p>
            <w:pPr>
              <w:spacing w:after="40"/>
              <w:jc w:val="right"/>
            </w:pPr>
            <w:r>
              <w:rPr>
                <w:rFonts w:ascii="Times New Roman" w:hAnsi="Times New Roman"/>
                <w:sz w:val="22"/>
              </w:rPr>
              <w:t>5</w:t>
            </w:r>
          </w:p>
        </w:tc>
      </w:tr>
      <w:tr>
        <w:tc>
          <w:tcPr>
            <w:tcW w:type="dxa" w:w="4680"/>
          </w:tcPr>
          <w:p>
            <w:pPr>
              <w:spacing w:after="40"/>
            </w:pPr>
            <w:r>
              <w:rPr>
                <w:rFonts w:ascii="Times New Roman" w:hAnsi="Times New Roman"/>
                <w:sz w:val="22"/>
              </w:rPr>
              <w:t xml:space="preserve">   2.1 Evolution of Clinical Decision Support &amp; KM Systems</w:t>
            </w:r>
          </w:p>
        </w:tc>
        <w:tc>
          <w:tcPr>
            <w:tcW w:type="dxa" w:w="4680"/>
          </w:tcPr>
          <w:p>
            <w:pPr>
              <w:spacing w:after="40"/>
              <w:jc w:val="right"/>
            </w:pPr>
            <w:r>
              <w:rPr>
                <w:rFonts w:ascii="Times New Roman" w:hAnsi="Times New Roman"/>
                <w:sz w:val="22"/>
              </w:rPr>
              <w:t>5</w:t>
            </w:r>
          </w:p>
        </w:tc>
      </w:tr>
      <w:tr>
        <w:tc>
          <w:tcPr>
            <w:tcW w:type="dxa" w:w="4680"/>
          </w:tcPr>
          <w:p>
            <w:pPr>
              <w:spacing w:after="40"/>
            </w:pPr>
            <w:r>
              <w:rPr>
                <w:rFonts w:ascii="Times New Roman" w:hAnsi="Times New Roman"/>
                <w:sz w:val="22"/>
              </w:rPr>
              <w:t xml:space="preserve">   2.2 Knowledge Life Cycle Theoretical Frameworks</w:t>
            </w:r>
          </w:p>
        </w:tc>
        <w:tc>
          <w:tcPr>
            <w:tcW w:type="dxa" w:w="4680"/>
          </w:tcPr>
          <w:p>
            <w:pPr>
              <w:spacing w:after="40"/>
              <w:jc w:val="right"/>
            </w:pPr>
            <w:r>
              <w:rPr>
                <w:rFonts w:ascii="Times New Roman" w:hAnsi="Times New Roman"/>
                <w:sz w:val="22"/>
              </w:rPr>
              <w:t>6</w:t>
            </w:r>
          </w:p>
        </w:tc>
      </w:tr>
      <w:tr>
        <w:tc>
          <w:tcPr>
            <w:tcW w:type="dxa" w:w="4680"/>
          </w:tcPr>
          <w:p>
            <w:pPr>
              <w:spacing w:after="40"/>
            </w:pPr>
            <w:r>
              <w:rPr>
                <w:rFonts w:ascii="Times New Roman" w:hAnsi="Times New Roman"/>
                <w:sz w:val="22"/>
              </w:rPr>
              <w:t xml:space="preserve">   2.3 Analysis of Existing Hospital Portals vs. MedKnow</w:t>
            </w:r>
          </w:p>
        </w:tc>
        <w:tc>
          <w:tcPr>
            <w:tcW w:type="dxa" w:w="4680"/>
          </w:tcPr>
          <w:p>
            <w:pPr>
              <w:spacing w:after="40"/>
              <w:jc w:val="right"/>
            </w:pPr>
            <w:r>
              <w:rPr>
                <w:rFonts w:ascii="Times New Roman" w:hAnsi="Times New Roman"/>
                <w:sz w:val="22"/>
              </w:rPr>
              <w:t>7</w:t>
            </w:r>
          </w:p>
        </w:tc>
      </w:tr>
      <w:tr>
        <w:tc>
          <w:tcPr>
            <w:tcW w:type="dxa" w:w="4680"/>
          </w:tcPr>
          <w:p>
            <w:pPr>
              <w:spacing w:after="40"/>
            </w:pPr>
            <w:r>
              <w:rPr>
                <w:rFonts w:ascii="Times New Roman" w:hAnsi="Times New Roman"/>
                <w:sz w:val="22"/>
              </w:rPr>
              <w:t xml:space="preserve">   2.4 Gaps Identified in Existing Literature</w:t>
            </w:r>
          </w:p>
        </w:tc>
        <w:tc>
          <w:tcPr>
            <w:tcW w:type="dxa" w:w="4680"/>
          </w:tcPr>
          <w:p>
            <w:pPr>
              <w:spacing w:after="40"/>
              <w:jc w:val="right"/>
            </w:pPr>
            <w:r>
              <w:rPr>
                <w:rFonts w:ascii="Times New Roman" w:hAnsi="Times New Roman"/>
                <w:sz w:val="22"/>
              </w:rPr>
              <w:t>8</w:t>
            </w:r>
          </w:p>
        </w:tc>
      </w:tr>
      <w:tr>
        <w:tc>
          <w:tcPr>
            <w:tcW w:type="dxa" w:w="4680"/>
          </w:tcPr>
          <w:p>
            <w:pPr>
              <w:spacing w:after="40"/>
            </w:pPr>
            <w:r>
              <w:rPr>
                <w:rFonts w:ascii="Times New Roman" w:hAnsi="Times New Roman"/>
                <w:b/>
                <w:sz w:val="22"/>
              </w:rPr>
              <w:t>3. SYSTEM REQUIREMENTS &amp; SPECIFICATIONS</w:t>
            </w:r>
          </w:p>
        </w:tc>
        <w:tc>
          <w:tcPr>
            <w:tcW w:type="dxa" w:w="4680"/>
          </w:tcPr>
          <w:p>
            <w:pPr>
              <w:spacing w:after="40"/>
              <w:jc w:val="right"/>
            </w:pPr>
            <w:r>
              <w:rPr>
                <w:rFonts w:ascii="Times New Roman" w:hAnsi="Times New Roman"/>
                <w:sz w:val="22"/>
              </w:rPr>
              <w:t>9</w:t>
            </w:r>
          </w:p>
        </w:tc>
      </w:tr>
      <w:tr>
        <w:tc>
          <w:tcPr>
            <w:tcW w:type="dxa" w:w="4680"/>
          </w:tcPr>
          <w:p>
            <w:pPr>
              <w:spacing w:after="40"/>
            </w:pPr>
            <w:r>
              <w:rPr>
                <w:rFonts w:ascii="Times New Roman" w:hAnsi="Times New Roman"/>
                <w:sz w:val="22"/>
              </w:rPr>
              <w:t xml:space="preserve">   3.1 Functional Requirements Matrix</w:t>
            </w:r>
          </w:p>
        </w:tc>
        <w:tc>
          <w:tcPr>
            <w:tcW w:type="dxa" w:w="4680"/>
          </w:tcPr>
          <w:p>
            <w:pPr>
              <w:spacing w:after="40"/>
              <w:jc w:val="right"/>
            </w:pPr>
            <w:r>
              <w:rPr>
                <w:rFonts w:ascii="Times New Roman" w:hAnsi="Times New Roman"/>
                <w:sz w:val="22"/>
              </w:rPr>
              <w:t>9</w:t>
            </w:r>
          </w:p>
        </w:tc>
      </w:tr>
      <w:tr>
        <w:tc>
          <w:tcPr>
            <w:tcW w:type="dxa" w:w="4680"/>
          </w:tcPr>
          <w:p>
            <w:pPr>
              <w:spacing w:after="40"/>
            </w:pPr>
            <w:r>
              <w:rPr>
                <w:rFonts w:ascii="Times New Roman" w:hAnsi="Times New Roman"/>
                <w:sz w:val="22"/>
              </w:rPr>
              <w:t xml:space="preserve">   3.2 Non-Functional &amp; Security Requirements</w:t>
            </w:r>
          </w:p>
        </w:tc>
        <w:tc>
          <w:tcPr>
            <w:tcW w:type="dxa" w:w="4680"/>
          </w:tcPr>
          <w:p>
            <w:pPr>
              <w:spacing w:after="40"/>
              <w:jc w:val="right"/>
            </w:pPr>
            <w:r>
              <w:rPr>
                <w:rFonts w:ascii="Times New Roman" w:hAnsi="Times New Roman"/>
                <w:sz w:val="22"/>
              </w:rPr>
              <w:t>10</w:t>
            </w:r>
          </w:p>
        </w:tc>
      </w:tr>
      <w:tr>
        <w:tc>
          <w:tcPr>
            <w:tcW w:type="dxa" w:w="4680"/>
          </w:tcPr>
          <w:p>
            <w:pPr>
              <w:spacing w:after="40"/>
            </w:pPr>
            <w:r>
              <w:rPr>
                <w:rFonts w:ascii="Times New Roman" w:hAnsi="Times New Roman"/>
                <w:sz w:val="22"/>
              </w:rPr>
              <w:t xml:space="preserve">   3.3 Hardware &amp; Software Specifications</w:t>
            </w:r>
          </w:p>
        </w:tc>
        <w:tc>
          <w:tcPr>
            <w:tcW w:type="dxa" w:w="4680"/>
          </w:tcPr>
          <w:p>
            <w:pPr>
              <w:spacing w:after="40"/>
              <w:jc w:val="right"/>
            </w:pPr>
            <w:r>
              <w:rPr>
                <w:rFonts w:ascii="Times New Roman" w:hAnsi="Times New Roman"/>
                <w:sz w:val="22"/>
              </w:rPr>
              <w:t>11</w:t>
            </w:r>
          </w:p>
        </w:tc>
      </w:tr>
      <w:tr>
        <w:tc>
          <w:tcPr>
            <w:tcW w:type="dxa" w:w="4680"/>
          </w:tcPr>
          <w:p>
            <w:pPr>
              <w:spacing w:after="40"/>
            </w:pPr>
            <w:r>
              <w:rPr>
                <w:rFonts w:ascii="Times New Roman" w:hAnsi="Times New Roman"/>
                <w:sz w:val="22"/>
              </w:rPr>
              <w:t xml:space="preserve">   3.4 System Architectural Block Diagram</w:t>
            </w:r>
          </w:p>
        </w:tc>
        <w:tc>
          <w:tcPr>
            <w:tcW w:type="dxa" w:w="4680"/>
          </w:tcPr>
          <w:p>
            <w:pPr>
              <w:spacing w:after="40"/>
              <w:jc w:val="right"/>
            </w:pPr>
            <w:r>
              <w:rPr>
                <w:rFonts w:ascii="Times New Roman" w:hAnsi="Times New Roman"/>
                <w:sz w:val="22"/>
              </w:rPr>
              <w:t>12</w:t>
            </w:r>
          </w:p>
        </w:tc>
      </w:tr>
      <w:tr>
        <w:tc>
          <w:tcPr>
            <w:tcW w:type="dxa" w:w="4680"/>
          </w:tcPr>
          <w:p>
            <w:pPr>
              <w:spacing w:after="40"/>
            </w:pPr>
            <w:r>
              <w:rPr>
                <w:rFonts w:ascii="Times New Roman" w:hAnsi="Times New Roman"/>
                <w:b/>
                <w:sz w:val="22"/>
              </w:rPr>
              <w:t>4. METHODOLOGY &amp; SYSTEM DESIGN</w:t>
            </w:r>
          </w:p>
        </w:tc>
        <w:tc>
          <w:tcPr>
            <w:tcW w:type="dxa" w:w="4680"/>
          </w:tcPr>
          <w:p>
            <w:pPr>
              <w:spacing w:after="40"/>
              <w:jc w:val="right"/>
            </w:pPr>
            <w:r>
              <w:rPr>
                <w:rFonts w:ascii="Times New Roman" w:hAnsi="Times New Roman"/>
                <w:sz w:val="22"/>
              </w:rPr>
              <w:t>13</w:t>
            </w:r>
          </w:p>
        </w:tc>
      </w:tr>
      <w:tr>
        <w:tc>
          <w:tcPr>
            <w:tcW w:type="dxa" w:w="4680"/>
          </w:tcPr>
          <w:p>
            <w:pPr>
              <w:spacing w:after="40"/>
            </w:pPr>
            <w:r>
              <w:rPr>
                <w:rFonts w:ascii="Times New Roman" w:hAnsi="Times New Roman"/>
                <w:sz w:val="22"/>
              </w:rPr>
              <w:t xml:space="preserve">   4.1 The Seven-Stage Clinical KM Lifecycle Model</w:t>
            </w:r>
          </w:p>
        </w:tc>
        <w:tc>
          <w:tcPr>
            <w:tcW w:type="dxa" w:w="4680"/>
          </w:tcPr>
          <w:p>
            <w:pPr>
              <w:spacing w:after="40"/>
              <w:jc w:val="right"/>
            </w:pPr>
            <w:r>
              <w:rPr>
                <w:rFonts w:ascii="Times New Roman" w:hAnsi="Times New Roman"/>
                <w:sz w:val="22"/>
              </w:rPr>
              <w:t>13</w:t>
            </w:r>
          </w:p>
        </w:tc>
      </w:tr>
      <w:tr>
        <w:tc>
          <w:tcPr>
            <w:tcW w:type="dxa" w:w="4680"/>
          </w:tcPr>
          <w:p>
            <w:pPr>
              <w:spacing w:after="40"/>
            </w:pPr>
            <w:r>
              <w:rPr>
                <w:rFonts w:ascii="Times New Roman" w:hAnsi="Times New Roman"/>
                <w:sz w:val="22"/>
              </w:rPr>
              <w:t xml:space="preserve">   4.2 Role-Based Access Control (RBAC) Governance</w:t>
            </w:r>
          </w:p>
        </w:tc>
        <w:tc>
          <w:tcPr>
            <w:tcW w:type="dxa" w:w="4680"/>
          </w:tcPr>
          <w:p>
            <w:pPr>
              <w:spacing w:after="40"/>
              <w:jc w:val="right"/>
            </w:pPr>
            <w:r>
              <w:rPr>
                <w:rFonts w:ascii="Times New Roman" w:hAnsi="Times New Roman"/>
                <w:sz w:val="22"/>
              </w:rPr>
              <w:t>14</w:t>
            </w:r>
          </w:p>
        </w:tc>
      </w:tr>
      <w:tr>
        <w:tc>
          <w:tcPr>
            <w:tcW w:type="dxa" w:w="4680"/>
          </w:tcPr>
          <w:p>
            <w:pPr>
              <w:spacing w:after="40"/>
            </w:pPr>
            <w:r>
              <w:rPr>
                <w:rFonts w:ascii="Times New Roman" w:hAnsi="Times New Roman"/>
                <w:sz w:val="22"/>
              </w:rPr>
              <w:t xml:space="preserve">   4.3 Database Architecture &amp; Entity-Relationship Schema</w:t>
            </w:r>
          </w:p>
        </w:tc>
        <w:tc>
          <w:tcPr>
            <w:tcW w:type="dxa" w:w="4680"/>
          </w:tcPr>
          <w:p>
            <w:pPr>
              <w:spacing w:after="40"/>
              <w:jc w:val="right"/>
            </w:pPr>
            <w:r>
              <w:rPr>
                <w:rFonts w:ascii="Times New Roman" w:hAnsi="Times New Roman"/>
                <w:sz w:val="22"/>
              </w:rPr>
              <w:t>15</w:t>
            </w:r>
          </w:p>
        </w:tc>
      </w:tr>
      <w:tr>
        <w:tc>
          <w:tcPr>
            <w:tcW w:type="dxa" w:w="4680"/>
          </w:tcPr>
          <w:p>
            <w:pPr>
              <w:spacing w:after="40"/>
            </w:pPr>
            <w:r>
              <w:rPr>
                <w:rFonts w:ascii="Times New Roman" w:hAnsi="Times New Roman"/>
                <w:sz w:val="22"/>
              </w:rPr>
              <w:t xml:space="preserve">   4.4 Data Flow Diagrams (DFD Level 0 &amp; Level 1)</w:t>
            </w:r>
          </w:p>
        </w:tc>
        <w:tc>
          <w:tcPr>
            <w:tcW w:type="dxa" w:w="4680"/>
          </w:tcPr>
          <w:p>
            <w:pPr>
              <w:spacing w:after="40"/>
              <w:jc w:val="right"/>
            </w:pPr>
            <w:r>
              <w:rPr>
                <w:rFonts w:ascii="Times New Roman" w:hAnsi="Times New Roman"/>
                <w:sz w:val="22"/>
              </w:rPr>
              <w:t>16</w:t>
            </w:r>
          </w:p>
        </w:tc>
      </w:tr>
      <w:tr>
        <w:tc>
          <w:tcPr>
            <w:tcW w:type="dxa" w:w="4680"/>
          </w:tcPr>
          <w:p>
            <w:pPr>
              <w:spacing w:after="40"/>
            </w:pPr>
            <w:r>
              <w:rPr>
                <w:rFonts w:ascii="Times New Roman" w:hAnsi="Times New Roman"/>
                <w:b/>
                <w:sz w:val="22"/>
              </w:rPr>
              <w:t>5. CLINICAL DECISION SUPPORT &amp; MATHEMATICAL FORMULATIONS</w:t>
            </w:r>
          </w:p>
        </w:tc>
        <w:tc>
          <w:tcPr>
            <w:tcW w:type="dxa" w:w="4680"/>
          </w:tcPr>
          <w:p>
            <w:pPr>
              <w:spacing w:after="40"/>
              <w:jc w:val="right"/>
            </w:pPr>
            <w:r>
              <w:rPr>
                <w:rFonts w:ascii="Times New Roman" w:hAnsi="Times New Roman"/>
                <w:sz w:val="22"/>
              </w:rPr>
              <w:t>17</w:t>
            </w:r>
          </w:p>
        </w:tc>
      </w:tr>
      <w:tr>
        <w:tc>
          <w:tcPr>
            <w:tcW w:type="dxa" w:w="4680"/>
          </w:tcPr>
          <w:p>
            <w:pPr>
              <w:spacing w:after="40"/>
            </w:pPr>
            <w:r>
              <w:rPr>
                <w:rFonts w:ascii="Times New Roman" w:hAnsi="Times New Roman"/>
                <w:sz w:val="22"/>
              </w:rPr>
              <w:t xml:space="preserve">   5.1 Quick SOFA (qSOFA) Sepsis Scoring &amp; Resuscitation Bundle</w:t>
            </w:r>
          </w:p>
        </w:tc>
        <w:tc>
          <w:tcPr>
            <w:tcW w:type="dxa" w:w="4680"/>
          </w:tcPr>
          <w:p>
            <w:pPr>
              <w:spacing w:after="40"/>
              <w:jc w:val="right"/>
            </w:pPr>
            <w:r>
              <w:rPr>
                <w:rFonts w:ascii="Times New Roman" w:hAnsi="Times New Roman"/>
                <w:sz w:val="22"/>
              </w:rPr>
              <w:t>17</w:t>
            </w:r>
          </w:p>
        </w:tc>
      </w:tr>
      <w:tr>
        <w:tc>
          <w:tcPr>
            <w:tcW w:type="dxa" w:w="4680"/>
          </w:tcPr>
          <w:p>
            <w:pPr>
              <w:spacing w:after="40"/>
            </w:pPr>
            <w:r>
              <w:rPr>
                <w:rFonts w:ascii="Times New Roman" w:hAnsi="Times New Roman"/>
                <w:sz w:val="22"/>
              </w:rPr>
              <w:t xml:space="preserve">   5.2 Cockcroft-Gault Creatinine Clearance &amp; GFR Formulation</w:t>
            </w:r>
          </w:p>
        </w:tc>
        <w:tc>
          <w:tcPr>
            <w:tcW w:type="dxa" w:w="4680"/>
          </w:tcPr>
          <w:p>
            <w:pPr>
              <w:spacing w:after="40"/>
              <w:jc w:val="right"/>
            </w:pPr>
            <w:r>
              <w:rPr>
                <w:rFonts w:ascii="Times New Roman" w:hAnsi="Times New Roman"/>
                <w:sz w:val="22"/>
              </w:rPr>
              <w:t>18</w:t>
            </w:r>
          </w:p>
        </w:tc>
      </w:tr>
      <w:tr>
        <w:tc>
          <w:tcPr>
            <w:tcW w:type="dxa" w:w="4680"/>
          </w:tcPr>
          <w:p>
            <w:pPr>
              <w:spacing w:after="40"/>
            </w:pPr>
            <w:r>
              <w:rPr>
                <w:rFonts w:ascii="Times New Roman" w:hAnsi="Times New Roman"/>
                <w:sz w:val="22"/>
              </w:rPr>
              <w:t xml:space="preserve">   5.3 Body Mass Index (BMI) &amp; Devine Ideal Body Weight Formula</w:t>
            </w:r>
          </w:p>
        </w:tc>
        <w:tc>
          <w:tcPr>
            <w:tcW w:type="dxa" w:w="4680"/>
          </w:tcPr>
          <w:p>
            <w:pPr>
              <w:spacing w:after="40"/>
              <w:jc w:val="right"/>
            </w:pPr>
            <w:r>
              <w:rPr>
                <w:rFonts w:ascii="Times New Roman" w:hAnsi="Times New Roman"/>
                <w:sz w:val="22"/>
              </w:rPr>
              <w:t>19</w:t>
            </w:r>
          </w:p>
        </w:tc>
      </w:tr>
      <w:tr>
        <w:tc>
          <w:tcPr>
            <w:tcW w:type="dxa" w:w="4680"/>
          </w:tcPr>
          <w:p>
            <w:pPr>
              <w:spacing w:after="40"/>
            </w:pPr>
            <w:r>
              <w:rPr>
                <w:rFonts w:ascii="Times New Roman" w:hAnsi="Times New Roman"/>
                <w:sz w:val="22"/>
              </w:rPr>
              <w:t xml:space="preserve">   5.4 IV Infusion Flow Rate &amp; Gravity Drip Formulation</w:t>
            </w:r>
          </w:p>
        </w:tc>
        <w:tc>
          <w:tcPr>
            <w:tcW w:type="dxa" w:w="4680"/>
          </w:tcPr>
          <w:p>
            <w:pPr>
              <w:spacing w:after="40"/>
              <w:jc w:val="right"/>
            </w:pPr>
            <w:r>
              <w:rPr>
                <w:rFonts w:ascii="Times New Roman" w:hAnsi="Times New Roman"/>
                <w:sz w:val="22"/>
              </w:rPr>
              <w:t>20</w:t>
            </w:r>
          </w:p>
        </w:tc>
      </w:tr>
      <w:tr>
        <w:tc>
          <w:tcPr>
            <w:tcW w:type="dxa" w:w="4680"/>
          </w:tcPr>
          <w:p>
            <w:pPr>
              <w:spacing w:after="40"/>
            </w:pPr>
            <w:r>
              <w:rPr>
                <w:rFonts w:ascii="Times New Roman" w:hAnsi="Times New Roman"/>
                <w:sz w:val="22"/>
              </w:rPr>
              <w:t xml:space="preserve">   5.5 Neonatal APGAR Vital Signs Assessment Formulation</w:t>
            </w:r>
          </w:p>
        </w:tc>
        <w:tc>
          <w:tcPr>
            <w:tcW w:type="dxa" w:w="4680"/>
          </w:tcPr>
          <w:p>
            <w:pPr>
              <w:spacing w:after="40"/>
              <w:jc w:val="right"/>
            </w:pPr>
            <w:r>
              <w:rPr>
                <w:rFonts w:ascii="Times New Roman" w:hAnsi="Times New Roman"/>
                <w:sz w:val="22"/>
              </w:rPr>
              <w:t>21</w:t>
            </w:r>
          </w:p>
        </w:tc>
      </w:tr>
      <w:tr>
        <w:tc>
          <w:tcPr>
            <w:tcW w:type="dxa" w:w="4680"/>
          </w:tcPr>
          <w:p>
            <w:pPr>
              <w:spacing w:after="40"/>
            </w:pPr>
            <w:r>
              <w:rPr>
                <w:rFonts w:ascii="Times New Roman" w:hAnsi="Times New Roman"/>
                <w:b/>
                <w:sz w:val="22"/>
              </w:rPr>
              <w:t>6. IMPLEMENTATION &amp; SOURCE CODE ARCHITECTURE</w:t>
            </w:r>
          </w:p>
        </w:tc>
        <w:tc>
          <w:tcPr>
            <w:tcW w:type="dxa" w:w="4680"/>
          </w:tcPr>
          <w:p>
            <w:pPr>
              <w:spacing w:after="40"/>
              <w:jc w:val="right"/>
            </w:pPr>
            <w:r>
              <w:rPr>
                <w:rFonts w:ascii="Times New Roman" w:hAnsi="Times New Roman"/>
                <w:sz w:val="22"/>
              </w:rPr>
              <w:t>22</w:t>
            </w:r>
          </w:p>
        </w:tc>
      </w:tr>
      <w:tr>
        <w:tc>
          <w:tcPr>
            <w:tcW w:type="dxa" w:w="4680"/>
          </w:tcPr>
          <w:p>
            <w:pPr>
              <w:spacing w:after="40"/>
            </w:pPr>
            <w:r>
              <w:rPr>
                <w:rFonts w:ascii="Times New Roman" w:hAnsi="Times New Roman"/>
                <w:sz w:val="22"/>
              </w:rPr>
              <w:t xml:space="preserve">   6.1 Backend RESTful API &amp; Security Middleware</w:t>
            </w:r>
          </w:p>
        </w:tc>
        <w:tc>
          <w:tcPr>
            <w:tcW w:type="dxa" w:w="4680"/>
          </w:tcPr>
          <w:p>
            <w:pPr>
              <w:spacing w:after="40"/>
              <w:jc w:val="right"/>
            </w:pPr>
            <w:r>
              <w:rPr>
                <w:rFonts w:ascii="Times New Roman" w:hAnsi="Times New Roman"/>
                <w:sz w:val="22"/>
              </w:rPr>
              <w:t>22</w:t>
            </w:r>
          </w:p>
        </w:tc>
      </w:tr>
      <w:tr>
        <w:tc>
          <w:tcPr>
            <w:tcW w:type="dxa" w:w="4680"/>
          </w:tcPr>
          <w:p>
            <w:pPr>
              <w:spacing w:after="40"/>
            </w:pPr>
            <w:r>
              <w:rPr>
                <w:rFonts w:ascii="Times New Roman" w:hAnsi="Times New Roman"/>
                <w:sz w:val="22"/>
              </w:rPr>
              <w:t xml:space="preserve">   6.2 Database ORM Models &amp; Audit Log Snapshotting</w:t>
            </w:r>
          </w:p>
        </w:tc>
        <w:tc>
          <w:tcPr>
            <w:tcW w:type="dxa" w:w="4680"/>
          </w:tcPr>
          <w:p>
            <w:pPr>
              <w:spacing w:after="40"/>
              <w:jc w:val="right"/>
            </w:pPr>
            <w:r>
              <w:rPr>
                <w:rFonts w:ascii="Times New Roman" w:hAnsi="Times New Roman"/>
                <w:sz w:val="22"/>
              </w:rPr>
              <w:t>23</w:t>
            </w:r>
          </w:p>
        </w:tc>
      </w:tr>
      <w:tr>
        <w:tc>
          <w:tcPr>
            <w:tcW w:type="dxa" w:w="4680"/>
          </w:tcPr>
          <w:p>
            <w:pPr>
              <w:spacing w:after="40"/>
            </w:pPr>
            <w:r>
              <w:rPr>
                <w:rFonts w:ascii="Times New Roman" w:hAnsi="Times New Roman"/>
                <w:sz w:val="22"/>
              </w:rPr>
              <w:t xml:space="preserve">   6.3 Frontend Single Page Application Engine &amp; UI State Management</w:t>
            </w:r>
          </w:p>
        </w:tc>
        <w:tc>
          <w:tcPr>
            <w:tcW w:type="dxa" w:w="4680"/>
          </w:tcPr>
          <w:p>
            <w:pPr>
              <w:spacing w:after="40"/>
              <w:jc w:val="right"/>
            </w:pPr>
            <w:r>
              <w:rPr>
                <w:rFonts w:ascii="Times New Roman" w:hAnsi="Times New Roman"/>
                <w:sz w:val="22"/>
              </w:rPr>
              <w:t>24</w:t>
            </w:r>
          </w:p>
        </w:tc>
      </w:tr>
      <w:tr>
        <w:tc>
          <w:tcPr>
            <w:tcW w:type="dxa" w:w="4680"/>
          </w:tcPr>
          <w:p>
            <w:pPr>
              <w:spacing w:after="40"/>
            </w:pPr>
            <w:r>
              <w:rPr>
                <w:rFonts w:ascii="Times New Roman" w:hAnsi="Times New Roman"/>
                <w:b/>
                <w:sz w:val="22"/>
              </w:rPr>
              <w:t>7. SYSTEM RESULTS &amp; SCREENSHOT ANALYSIS</w:t>
            </w:r>
          </w:p>
        </w:tc>
        <w:tc>
          <w:tcPr>
            <w:tcW w:type="dxa" w:w="4680"/>
          </w:tcPr>
          <w:p>
            <w:pPr>
              <w:spacing w:after="40"/>
              <w:jc w:val="right"/>
            </w:pPr>
            <w:r>
              <w:rPr>
                <w:rFonts w:ascii="Times New Roman" w:hAnsi="Times New Roman"/>
                <w:sz w:val="22"/>
              </w:rPr>
              <w:t>25</w:t>
            </w:r>
          </w:p>
        </w:tc>
      </w:tr>
      <w:tr>
        <w:tc>
          <w:tcPr>
            <w:tcW w:type="dxa" w:w="4680"/>
          </w:tcPr>
          <w:p>
            <w:pPr>
              <w:spacing w:after="40"/>
            </w:pPr>
            <w:r>
              <w:rPr>
                <w:rFonts w:ascii="Times New Roman" w:hAnsi="Times New Roman"/>
                <w:sz w:val="22"/>
              </w:rPr>
              <w:t xml:space="preserve">   7.1 Live Production Deployment &amp; Dashboard Metrics</w:t>
            </w:r>
          </w:p>
        </w:tc>
        <w:tc>
          <w:tcPr>
            <w:tcW w:type="dxa" w:w="4680"/>
          </w:tcPr>
          <w:p>
            <w:pPr>
              <w:spacing w:after="40"/>
              <w:jc w:val="right"/>
            </w:pPr>
            <w:r>
              <w:rPr>
                <w:rFonts w:ascii="Times New Roman" w:hAnsi="Times New Roman"/>
                <w:sz w:val="22"/>
              </w:rPr>
              <w:t>25</w:t>
            </w:r>
          </w:p>
        </w:tc>
      </w:tr>
      <w:tr>
        <w:tc>
          <w:tcPr>
            <w:tcW w:type="dxa" w:w="4680"/>
          </w:tcPr>
          <w:p>
            <w:pPr>
              <w:spacing w:after="40"/>
            </w:pPr>
            <w:r>
              <w:rPr>
                <w:rFonts w:ascii="Times New Roman" w:hAnsi="Times New Roman"/>
                <w:sz w:val="22"/>
              </w:rPr>
              <w:t xml:space="preserve">   7.2 Clinical Protocol Viewer with Alert Callouts &amp; Checklists</w:t>
            </w:r>
          </w:p>
        </w:tc>
        <w:tc>
          <w:tcPr>
            <w:tcW w:type="dxa" w:w="4680"/>
          </w:tcPr>
          <w:p>
            <w:pPr>
              <w:spacing w:after="40"/>
              <w:jc w:val="right"/>
            </w:pPr>
            <w:r>
              <w:rPr>
                <w:rFonts w:ascii="Times New Roman" w:hAnsi="Times New Roman"/>
                <w:sz w:val="22"/>
              </w:rPr>
              <w:t>26</w:t>
            </w:r>
          </w:p>
        </w:tc>
      </w:tr>
      <w:tr>
        <w:tc>
          <w:tcPr>
            <w:tcW w:type="dxa" w:w="4680"/>
          </w:tcPr>
          <w:p>
            <w:pPr>
              <w:spacing w:after="40"/>
            </w:pPr>
            <w:r>
              <w:rPr>
                <w:rFonts w:ascii="Times New Roman" w:hAnsi="Times New Roman"/>
                <w:sz w:val="22"/>
              </w:rPr>
              <w:t xml:space="preserve">   7.3 Staff Profile &amp; Specialty Customization Module</w:t>
            </w:r>
          </w:p>
        </w:tc>
        <w:tc>
          <w:tcPr>
            <w:tcW w:type="dxa" w:w="4680"/>
          </w:tcPr>
          <w:p>
            <w:pPr>
              <w:spacing w:after="40"/>
              <w:jc w:val="right"/>
            </w:pPr>
            <w:r>
              <w:rPr>
                <w:rFonts w:ascii="Times New Roman" w:hAnsi="Times New Roman"/>
                <w:sz w:val="22"/>
              </w:rPr>
              <w:t>27</w:t>
            </w:r>
          </w:p>
        </w:tc>
      </w:tr>
      <w:tr>
        <w:tc>
          <w:tcPr>
            <w:tcW w:type="dxa" w:w="4680"/>
          </w:tcPr>
          <w:p>
            <w:pPr>
              <w:spacing w:after="40"/>
            </w:pPr>
            <w:r>
              <w:rPr>
                <w:rFonts w:ascii="Times New Roman" w:hAnsi="Times New Roman"/>
                <w:sz w:val="22"/>
              </w:rPr>
              <w:t xml:space="preserve">   7.4 Hospital Bedside Protocol Print Sheet &amp; PDF Export</w:t>
            </w:r>
          </w:p>
        </w:tc>
        <w:tc>
          <w:tcPr>
            <w:tcW w:type="dxa" w:w="4680"/>
          </w:tcPr>
          <w:p>
            <w:pPr>
              <w:spacing w:after="40"/>
              <w:jc w:val="right"/>
            </w:pPr>
            <w:r>
              <w:rPr>
                <w:rFonts w:ascii="Times New Roman" w:hAnsi="Times New Roman"/>
                <w:sz w:val="22"/>
              </w:rPr>
              <w:t>28</w:t>
            </w:r>
          </w:p>
        </w:tc>
      </w:tr>
      <w:tr>
        <w:tc>
          <w:tcPr>
            <w:tcW w:type="dxa" w:w="4680"/>
          </w:tcPr>
          <w:p>
            <w:pPr>
              <w:spacing w:after="40"/>
            </w:pPr>
            <w:r>
              <w:rPr>
                <w:rFonts w:ascii="Times New Roman" w:hAnsi="Times New Roman"/>
                <w:b/>
                <w:sz w:val="22"/>
              </w:rPr>
              <w:t>8. CLOUD HOSTING ARCHITECTURE &amp; DEPLOYMENT</w:t>
            </w:r>
          </w:p>
        </w:tc>
        <w:tc>
          <w:tcPr>
            <w:tcW w:type="dxa" w:w="4680"/>
          </w:tcPr>
          <w:p>
            <w:pPr>
              <w:spacing w:after="40"/>
              <w:jc w:val="right"/>
            </w:pPr>
            <w:r>
              <w:rPr>
                <w:rFonts w:ascii="Times New Roman" w:hAnsi="Times New Roman"/>
                <w:sz w:val="22"/>
              </w:rPr>
              <w:t>29</w:t>
            </w:r>
          </w:p>
        </w:tc>
      </w:tr>
      <w:tr>
        <w:tc>
          <w:tcPr>
            <w:tcW w:type="dxa" w:w="4680"/>
          </w:tcPr>
          <w:p>
            <w:pPr>
              <w:spacing w:after="40"/>
            </w:pPr>
            <w:r>
              <w:rPr>
                <w:rFonts w:ascii="Times New Roman" w:hAnsi="Times New Roman"/>
                <w:sz w:val="22"/>
              </w:rPr>
              <w:t xml:space="preserve">   8.1 Render Cloud PaaS &amp; Gunicorn WSGI Server Configuration</w:t>
            </w:r>
          </w:p>
        </w:tc>
        <w:tc>
          <w:tcPr>
            <w:tcW w:type="dxa" w:w="4680"/>
          </w:tcPr>
          <w:p>
            <w:pPr>
              <w:spacing w:after="40"/>
              <w:jc w:val="right"/>
            </w:pPr>
            <w:r>
              <w:rPr>
                <w:rFonts w:ascii="Times New Roman" w:hAnsi="Times New Roman"/>
                <w:sz w:val="22"/>
              </w:rPr>
              <w:t>29</w:t>
            </w:r>
          </w:p>
        </w:tc>
      </w:tr>
      <w:tr>
        <w:tc>
          <w:tcPr>
            <w:tcW w:type="dxa" w:w="4680"/>
          </w:tcPr>
          <w:p>
            <w:pPr>
              <w:spacing w:after="40"/>
            </w:pPr>
            <w:r>
              <w:rPr>
                <w:rFonts w:ascii="Times New Roman" w:hAnsi="Times New Roman"/>
                <w:sz w:val="22"/>
              </w:rPr>
              <w:t xml:space="preserve">   8.2 Multi-Database Dynamic Connection Strategy</w:t>
            </w:r>
          </w:p>
        </w:tc>
        <w:tc>
          <w:tcPr>
            <w:tcW w:type="dxa" w:w="4680"/>
          </w:tcPr>
          <w:p>
            <w:pPr>
              <w:spacing w:after="40"/>
              <w:jc w:val="right"/>
            </w:pPr>
            <w:r>
              <w:rPr>
                <w:rFonts w:ascii="Times New Roman" w:hAnsi="Times New Roman"/>
                <w:sz w:val="22"/>
              </w:rPr>
              <w:t>30</w:t>
            </w:r>
          </w:p>
        </w:tc>
      </w:tr>
      <w:tr>
        <w:tc>
          <w:tcPr>
            <w:tcW w:type="dxa" w:w="4680"/>
          </w:tcPr>
          <w:p>
            <w:pPr>
              <w:spacing w:after="40"/>
            </w:pPr>
            <w:r>
              <w:rPr>
                <w:rFonts w:ascii="Times New Roman" w:hAnsi="Times New Roman"/>
                <w:sz w:val="22"/>
              </w:rPr>
              <w:t xml:space="preserve">   8.3 Containerization &amp; Docker Pipeline</w:t>
            </w:r>
          </w:p>
        </w:tc>
        <w:tc>
          <w:tcPr>
            <w:tcW w:type="dxa" w:w="4680"/>
          </w:tcPr>
          <w:p>
            <w:pPr>
              <w:spacing w:after="40"/>
              <w:jc w:val="right"/>
            </w:pPr>
            <w:r>
              <w:rPr>
                <w:rFonts w:ascii="Times New Roman" w:hAnsi="Times New Roman"/>
                <w:sz w:val="22"/>
              </w:rPr>
              <w:t>30</w:t>
            </w:r>
          </w:p>
        </w:tc>
      </w:tr>
      <w:tr>
        <w:tc>
          <w:tcPr>
            <w:tcW w:type="dxa" w:w="4680"/>
          </w:tcPr>
          <w:p>
            <w:pPr>
              <w:spacing w:after="40"/>
            </w:pPr>
            <w:r>
              <w:rPr>
                <w:rFonts w:ascii="Times New Roman" w:hAnsi="Times New Roman"/>
                <w:b/>
                <w:sz w:val="22"/>
              </w:rPr>
              <w:t>9. TESTING &amp; QUALITY ASSURANCE</w:t>
            </w:r>
          </w:p>
        </w:tc>
        <w:tc>
          <w:tcPr>
            <w:tcW w:type="dxa" w:w="4680"/>
          </w:tcPr>
          <w:p>
            <w:pPr>
              <w:spacing w:after="40"/>
              <w:jc w:val="right"/>
            </w:pPr>
            <w:r>
              <w:rPr>
                <w:rFonts w:ascii="Times New Roman" w:hAnsi="Times New Roman"/>
                <w:sz w:val="22"/>
              </w:rPr>
              <w:t>31</w:t>
            </w:r>
          </w:p>
        </w:tc>
      </w:tr>
      <w:tr>
        <w:tc>
          <w:tcPr>
            <w:tcW w:type="dxa" w:w="4680"/>
          </w:tcPr>
          <w:p>
            <w:pPr>
              <w:spacing w:after="40"/>
            </w:pPr>
            <w:r>
              <w:rPr>
                <w:rFonts w:ascii="Times New Roman" w:hAnsi="Times New Roman"/>
                <w:sz w:val="22"/>
              </w:rPr>
              <w:t xml:space="preserve">   9.1 Unit Testing &amp; API Validation Matrix</w:t>
            </w:r>
          </w:p>
        </w:tc>
        <w:tc>
          <w:tcPr>
            <w:tcW w:type="dxa" w:w="4680"/>
          </w:tcPr>
          <w:p>
            <w:pPr>
              <w:spacing w:after="40"/>
              <w:jc w:val="right"/>
            </w:pPr>
            <w:r>
              <w:rPr>
                <w:rFonts w:ascii="Times New Roman" w:hAnsi="Times New Roman"/>
                <w:sz w:val="22"/>
              </w:rPr>
              <w:t>31</w:t>
            </w:r>
          </w:p>
        </w:tc>
      </w:tr>
      <w:tr>
        <w:tc>
          <w:tcPr>
            <w:tcW w:type="dxa" w:w="4680"/>
          </w:tcPr>
          <w:p>
            <w:pPr>
              <w:spacing w:after="40"/>
            </w:pPr>
            <w:r>
              <w:rPr>
                <w:rFonts w:ascii="Times New Roman" w:hAnsi="Times New Roman"/>
                <w:sz w:val="22"/>
              </w:rPr>
              <w:t xml:space="preserve">   9.2 Integration &amp; Performance Evaluation</w:t>
            </w:r>
          </w:p>
        </w:tc>
        <w:tc>
          <w:tcPr>
            <w:tcW w:type="dxa" w:w="4680"/>
          </w:tcPr>
          <w:p>
            <w:pPr>
              <w:spacing w:after="40"/>
              <w:jc w:val="right"/>
            </w:pPr>
            <w:r>
              <w:rPr>
                <w:rFonts w:ascii="Times New Roman" w:hAnsi="Times New Roman"/>
                <w:sz w:val="22"/>
              </w:rPr>
              <w:t>32</w:t>
            </w:r>
          </w:p>
        </w:tc>
      </w:tr>
      <w:tr>
        <w:tc>
          <w:tcPr>
            <w:tcW w:type="dxa" w:w="4680"/>
          </w:tcPr>
          <w:p>
            <w:pPr>
              <w:spacing w:after="40"/>
            </w:pPr>
            <w:r>
              <w:rPr>
                <w:rFonts w:ascii="Times New Roman" w:hAnsi="Times New Roman"/>
                <w:b/>
                <w:sz w:val="22"/>
              </w:rPr>
              <w:t>10. CONCLUSION &amp; FUTURE SCOPE</w:t>
            </w:r>
          </w:p>
        </w:tc>
        <w:tc>
          <w:tcPr>
            <w:tcW w:type="dxa" w:w="4680"/>
          </w:tcPr>
          <w:p>
            <w:pPr>
              <w:spacing w:after="40"/>
              <w:jc w:val="right"/>
            </w:pPr>
            <w:r>
              <w:rPr>
                <w:rFonts w:ascii="Times New Roman" w:hAnsi="Times New Roman"/>
                <w:sz w:val="22"/>
              </w:rPr>
              <w:t>33</w:t>
            </w:r>
          </w:p>
        </w:tc>
      </w:tr>
      <w:tr>
        <w:tc>
          <w:tcPr>
            <w:tcW w:type="dxa" w:w="4680"/>
          </w:tcPr>
          <w:p>
            <w:pPr>
              <w:spacing w:after="40"/>
            </w:pPr>
            <w:r>
              <w:rPr>
                <w:rFonts w:ascii="Times New Roman" w:hAnsi="Times New Roman"/>
                <w:b/>
                <w:sz w:val="22"/>
              </w:rPr>
              <w:t>REFERENCES</w:t>
            </w:r>
          </w:p>
        </w:tc>
        <w:tc>
          <w:tcPr>
            <w:tcW w:type="dxa" w:w="4680"/>
          </w:tcPr>
          <w:p>
            <w:pPr>
              <w:spacing w:after="40"/>
              <w:jc w:val="right"/>
            </w:pPr>
            <w:r>
              <w:rPr>
                <w:rFonts w:ascii="Times New Roman" w:hAnsi="Times New Roman"/>
                <w:sz w:val="22"/>
              </w:rPr>
              <w:t>34</w:t>
            </w:r>
          </w:p>
        </w:tc>
      </w:tr>
    </w:tbl>
    <w:p>
      <w:r>
        <w:br w:type="page"/>
      </w:r>
    </w:p>
    <w:p>
      <w:pPr>
        <w:keepNext/>
        <w:spacing w:before="320" w:after="160"/>
        <w:jc w:val="left"/>
      </w:pPr>
      <w:r>
        <w:rPr>
          <w:rFonts w:ascii="Times New Roman" w:hAnsi="Times New Roman"/>
          <w:b/>
          <w:color w:val="1F6F78"/>
          <w:sz w:val="28"/>
        </w:rPr>
        <w:t>CHAPTER 1: INTRODUCTION</w:t>
      </w:r>
    </w:p>
    <w:p>
      <w:pPr>
        <w:keepNext/>
        <w:spacing w:before="240" w:after="120"/>
        <w:jc w:val="left"/>
      </w:pPr>
      <w:r>
        <w:rPr>
          <w:rFonts w:ascii="Times New Roman" w:hAnsi="Times New Roman"/>
          <w:b/>
          <w:color w:val="132A31"/>
          <w:sz w:val="26"/>
        </w:rPr>
        <w:t>1.1 Healthcare Knowledge Management Overview</w:t>
      </w:r>
    </w:p>
    <w:p>
      <w:pPr>
        <w:spacing w:after="120" w:line="276" w:lineRule="auto"/>
        <w:jc w:val="both"/>
      </w:pPr>
      <w:r>
        <w:rPr>
          <w:rFonts w:ascii="Times New Roman" w:hAnsi="Times New Roman"/>
          <w:b w:val="0"/>
          <w:i w:val="0"/>
          <w:color w:val="132A31"/>
          <w:sz w:val="24"/>
        </w:rPr>
        <w:t>Healthcare organizations represent some of the most information-intensive and operationally complex environments in modern society. Every clinical encounter generates vast streams of diagnostic observations, therapeutic decisions, pharmacological adjustments, and procedural reflections. However, a significant proportion of healthcare institutions suffer from profound knowledge fragmentation. Clinical expertise is frequently trapped in departmental silos, individual clinicians' memory, paper binders stored in nursing stations, or unindexed legacy shared drives.</w:t>
      </w:r>
    </w:p>
    <w:p>
      <w:pPr>
        <w:spacing w:after="120" w:line="276" w:lineRule="auto"/>
        <w:jc w:val="both"/>
      </w:pPr>
      <w:r>
        <w:rPr>
          <w:rFonts w:ascii="Times New Roman" w:hAnsi="Times New Roman"/>
          <w:b w:val="0"/>
          <w:i w:val="0"/>
          <w:color w:val="132A31"/>
          <w:sz w:val="24"/>
        </w:rPr>
        <w:t>Knowledge Management (KM) in healthcare is the systematic discipline of identifying, capturing, structuring, validating, sharing, and retiring clinical knowledge assets to elevate care quality, minimize medical errors, accelerate emergency triage, and ensure standardized clinical protocols across multi-disciplinary teams.</w:t>
      </w:r>
    </w:p>
    <w:p>
      <w:pPr>
        <w:keepNext/>
        <w:spacing w:before="240" w:after="120"/>
        <w:jc w:val="left"/>
      </w:pPr>
      <w:r>
        <w:rPr>
          <w:rFonts w:ascii="Times New Roman" w:hAnsi="Times New Roman"/>
          <w:b/>
          <w:color w:val="132A31"/>
          <w:sz w:val="26"/>
        </w:rPr>
        <w:t>1.2 Explicit vs. Tacit Knowledge in Clinical Environments</w:t>
      </w:r>
    </w:p>
    <w:p>
      <w:pPr>
        <w:spacing w:after="120" w:line="276" w:lineRule="auto"/>
        <w:jc w:val="both"/>
      </w:pPr>
      <w:r>
        <w:rPr>
          <w:rFonts w:ascii="Times New Roman" w:hAnsi="Times New Roman"/>
          <w:b w:val="0"/>
          <w:i w:val="0"/>
          <w:color w:val="132A31"/>
          <w:sz w:val="24"/>
        </w:rPr>
        <w:t>In clinical medicine, knowledge exists in two fundamental dimensions:</w:t>
      </w:r>
    </w:p>
    <w:p>
      <w:pPr>
        <w:spacing w:after="120" w:line="276" w:lineRule="auto"/>
        <w:jc w:val="both"/>
      </w:pPr>
      <w:r>
        <w:rPr>
          <w:rFonts w:ascii="Times New Roman" w:hAnsi="Times New Roman"/>
          <w:b w:val="0"/>
          <w:i w:val="0"/>
          <w:color w:val="132A31"/>
          <w:sz w:val="24"/>
        </w:rPr>
        <w:t>1. Explicit Clinical Knowledge: Formalized, codifiable medical knowledge such as clinical practice guidelines, emergency resuscitation algorithms, drug formulary monographs, ICD-10 diagnostic criteria, and standard operating procedures (SOPs). This knowledge can be readily articulated, documented, and referenced.</w:t>
      </w:r>
    </w:p>
    <w:p>
      <w:pPr>
        <w:spacing w:after="120" w:line="276" w:lineRule="auto"/>
        <w:jc w:val="both"/>
      </w:pPr>
      <w:r>
        <w:rPr>
          <w:rFonts w:ascii="Times New Roman" w:hAnsi="Times New Roman"/>
          <w:b w:val="0"/>
          <w:i w:val="0"/>
          <w:color w:val="132A31"/>
          <w:sz w:val="24"/>
        </w:rPr>
        <w:t>2. Tacit Clinical Knowledge: Intuitive, experiential knowledge possessed by seasoned clinicians, senior surgeons, and ICU nurses. Examples include recognizing subtle clinical deterioration in early sepsis, managing atypical drug interactions, navigating complex shift handover nuances, and intuitive bedside troubleshooting. Capturing tacit knowledge requires collaborative discussion threads, peer validation ratings, clinical consult boards, and case study post-mortems.</w:t>
      </w:r>
    </w:p>
    <w:p>
      <w:pPr>
        <w:spacing w:after="120" w:line="276" w:lineRule="auto"/>
        <w:jc w:val="both"/>
      </w:pPr>
      <w:r>
        <w:rPr>
          <w:rFonts w:ascii="Times New Roman" w:hAnsi="Times New Roman"/>
          <w:b/>
          <w:i w:val="0"/>
          <w:color w:val="132A31"/>
          <w:sz w:val="22"/>
        </w:rPr>
        <w:t>Table 1.1: Operationalization of Knowledge Dimensions in MedKnow</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5E5E5"/>
          <w:insideV w:val="none"/>
          <w:left w:val="none"/>
          <w:right w:val="none"/>
        </w:tblBorders>
      </w:tblPr>
      <w:tblGrid>
        <w:gridCol w:w="3120"/>
        <w:gridCol w:w="3120"/>
        <w:gridCol w:w="3120"/>
      </w:tblGrid>
      <w:tr>
        <w:tc>
          <w:tcPr>
            <w:tcW w:type="dxa" w:w="3120"/>
            <w:shd w:fill="1F6F78"/>
            <w:tcMar>
              <w:top w:w="60" w:type="dxa"/>
              <w:bottom w:w="60" w:type="dxa"/>
              <w:left w:w="100" w:type="dxa"/>
              <w:right w:w="100" w:type="dxa"/>
            </w:tcMar>
          </w:tcPr>
          <w:p>
            <w:pPr>
              <w:jc w:val="center"/>
            </w:pPr>
            <w:r>
              <w:rPr>
                <w:b/>
                <w:color w:val="FFFFFF"/>
              </w:rPr>
              <w:t>Knowledge Type</w:t>
            </w:r>
          </w:p>
        </w:tc>
        <w:tc>
          <w:tcPr>
            <w:tcW w:type="dxa" w:w="3120"/>
            <w:shd w:fill="1F6F78"/>
            <w:tcMar>
              <w:top w:w="60" w:type="dxa"/>
              <w:bottom w:w="60" w:type="dxa"/>
              <w:left w:w="100" w:type="dxa"/>
              <w:right w:w="100" w:type="dxa"/>
            </w:tcMar>
          </w:tcPr>
          <w:p>
            <w:pPr>
              <w:jc w:val="center"/>
            </w:pPr>
            <w:r>
              <w:rPr>
                <w:b/>
                <w:color w:val="FFFFFF"/>
              </w:rPr>
              <w:t>Clinical Manifestation</w:t>
            </w:r>
          </w:p>
        </w:tc>
        <w:tc>
          <w:tcPr>
            <w:tcW w:type="dxa" w:w="3120"/>
            <w:shd w:fill="1F6F78"/>
            <w:tcMar>
              <w:top w:w="60" w:type="dxa"/>
              <w:bottom w:w="60" w:type="dxa"/>
              <w:left w:w="100" w:type="dxa"/>
              <w:right w:w="100" w:type="dxa"/>
            </w:tcMar>
          </w:tcPr>
          <w:p>
            <w:pPr>
              <w:jc w:val="center"/>
            </w:pPr>
            <w:r>
              <w:rPr>
                <w:b/>
                <w:color w:val="FFFFFF"/>
              </w:rPr>
              <w:t>MedKnow Operational Feature</w:t>
            </w:r>
          </w:p>
        </w:tc>
      </w:tr>
      <w:tr>
        <w:tc>
          <w:tcPr>
            <w:tcW w:type="dxa" w:w="3120"/>
            <w:shd w:fill="FFFFFF"/>
            <w:tcMar>
              <w:top w:w="50" w:type="dxa"/>
              <w:bottom w:w="50" w:type="dxa"/>
              <w:left w:w="100" w:type="dxa"/>
              <w:right w:w="100" w:type="dxa"/>
            </w:tcMar>
          </w:tcPr>
          <w:p>
            <w:r>
              <w:t>Explicit</w:t>
            </w:r>
          </w:p>
        </w:tc>
        <w:tc>
          <w:tcPr>
            <w:tcW w:type="dxa" w:w="3120"/>
            <w:shd w:fill="FFFFFF"/>
            <w:tcMar>
              <w:top w:w="50" w:type="dxa"/>
              <w:bottom w:w="50" w:type="dxa"/>
              <w:left w:w="100" w:type="dxa"/>
              <w:right w:w="100" w:type="dxa"/>
            </w:tcMar>
          </w:tcPr>
          <w:p>
            <w:r>
              <w:t>Sepsis Golden Hour Resuscitation Bundle</w:t>
            </w:r>
          </w:p>
        </w:tc>
        <w:tc>
          <w:tcPr>
            <w:tcW w:type="dxa" w:w="3120"/>
            <w:shd w:fill="FFFFFF"/>
            <w:tcMar>
              <w:top w:w="50" w:type="dxa"/>
              <w:bottom w:w="50" w:type="dxa"/>
              <w:left w:w="100" w:type="dxa"/>
              <w:right w:w="100" w:type="dxa"/>
            </w:tcMar>
          </w:tcPr>
          <w:p>
            <w:r>
              <w:t>Structured Clinical Protocol with Callout Alerts</w:t>
            </w:r>
          </w:p>
        </w:tc>
      </w:tr>
      <w:tr>
        <w:tc>
          <w:tcPr>
            <w:tcW w:type="dxa" w:w="3120"/>
            <w:shd w:fill="EFF3F1"/>
            <w:tcMar>
              <w:top w:w="50" w:type="dxa"/>
              <w:bottom w:w="50" w:type="dxa"/>
              <w:left w:w="100" w:type="dxa"/>
              <w:right w:w="100" w:type="dxa"/>
            </w:tcMar>
          </w:tcPr>
          <w:p>
            <w:r>
              <w:t>Explicit</w:t>
            </w:r>
          </w:p>
        </w:tc>
        <w:tc>
          <w:tcPr>
            <w:tcW w:type="dxa" w:w="3120"/>
            <w:shd w:fill="EFF3F1"/>
            <w:tcMar>
              <w:top w:w="50" w:type="dxa"/>
              <w:bottom w:w="50" w:type="dxa"/>
              <w:left w:w="100" w:type="dxa"/>
              <w:right w:w="100" w:type="dxa"/>
            </w:tcMar>
          </w:tcPr>
          <w:p>
            <w:r>
              <w:t>Cockcroft-Gault Renal Dosing Formula</w:t>
            </w:r>
          </w:p>
        </w:tc>
        <w:tc>
          <w:tcPr>
            <w:tcW w:type="dxa" w:w="3120"/>
            <w:shd w:fill="EFF3F1"/>
            <w:tcMar>
              <w:top w:w="50" w:type="dxa"/>
              <w:bottom w:w="50" w:type="dxa"/>
              <w:left w:w="100" w:type="dxa"/>
              <w:right w:w="100" w:type="dxa"/>
            </w:tcMar>
          </w:tcPr>
          <w:p>
            <w:r>
              <w:t>Interactive GFR Point-of-Care Calculator</w:t>
            </w:r>
          </w:p>
        </w:tc>
      </w:tr>
      <w:tr>
        <w:tc>
          <w:tcPr>
            <w:tcW w:type="dxa" w:w="3120"/>
            <w:shd w:fill="FFFFFF"/>
            <w:tcMar>
              <w:top w:w="50" w:type="dxa"/>
              <w:bottom w:w="50" w:type="dxa"/>
              <w:left w:w="100" w:type="dxa"/>
              <w:right w:w="100" w:type="dxa"/>
            </w:tcMar>
          </w:tcPr>
          <w:p>
            <w:r>
              <w:t>Tacit</w:t>
            </w:r>
          </w:p>
        </w:tc>
        <w:tc>
          <w:tcPr>
            <w:tcW w:type="dxa" w:w="3120"/>
            <w:shd w:fill="FFFFFF"/>
            <w:tcMar>
              <w:top w:w="50" w:type="dxa"/>
              <w:bottom w:w="50" w:type="dxa"/>
              <w:left w:w="100" w:type="dxa"/>
              <w:right w:w="100" w:type="dxa"/>
            </w:tcMar>
          </w:tcPr>
          <w:p>
            <w:r>
              <w:t>Diagnostic pitfalls in atypical appendicitis</w:t>
            </w:r>
          </w:p>
        </w:tc>
        <w:tc>
          <w:tcPr>
            <w:tcW w:type="dxa" w:w="3120"/>
            <w:shd w:fill="FFFFFF"/>
            <w:tcMar>
              <w:top w:w="50" w:type="dxa"/>
              <w:bottom w:w="50" w:type="dxa"/>
              <w:left w:w="100" w:type="dxa"/>
              <w:right w:w="100" w:type="dxa"/>
            </w:tcMar>
          </w:tcPr>
          <w:p>
            <w:r>
              <w:t>Clinical Case Studies &amp; Post-Mortem Reviews</w:t>
            </w:r>
          </w:p>
        </w:tc>
      </w:tr>
      <w:tr>
        <w:tc>
          <w:tcPr>
            <w:tcW w:type="dxa" w:w="3120"/>
            <w:shd w:fill="EFF3F1"/>
            <w:tcMar>
              <w:top w:w="50" w:type="dxa"/>
              <w:bottom w:w="50" w:type="dxa"/>
              <w:left w:w="100" w:type="dxa"/>
              <w:right w:w="100" w:type="dxa"/>
            </w:tcMar>
          </w:tcPr>
          <w:p>
            <w:r>
              <w:t>Tacit</w:t>
            </w:r>
          </w:p>
        </w:tc>
        <w:tc>
          <w:tcPr>
            <w:tcW w:type="dxa" w:w="3120"/>
            <w:shd w:fill="EFF3F1"/>
            <w:tcMar>
              <w:top w:w="50" w:type="dxa"/>
              <w:bottom w:w="50" w:type="dxa"/>
              <w:left w:w="100" w:type="dxa"/>
              <w:right w:w="100" w:type="dxa"/>
            </w:tcMar>
          </w:tcPr>
          <w:p>
            <w:r>
              <w:t>Antibiotic duration consensus for CAP in elderly</w:t>
            </w:r>
          </w:p>
        </w:tc>
        <w:tc>
          <w:tcPr>
            <w:tcW w:type="dxa" w:w="3120"/>
            <w:shd w:fill="EFF3F1"/>
            <w:tcMar>
              <w:top w:w="50" w:type="dxa"/>
              <w:bottom w:w="50" w:type="dxa"/>
              <w:left w:w="100" w:type="dxa"/>
              <w:right w:w="100" w:type="dxa"/>
            </w:tcMar>
          </w:tcPr>
          <w:p>
            <w:r>
              <w:t>Clinical Consults &amp; Q&amp;A Board with Verified Solutions</w:t>
            </w:r>
          </w:p>
        </w:tc>
      </w:tr>
      <w:tr>
        <w:tc>
          <w:tcPr>
            <w:tcW w:type="dxa" w:w="3120"/>
            <w:shd w:fill="FFFFFF"/>
            <w:tcMar>
              <w:top w:w="50" w:type="dxa"/>
              <w:bottom w:w="50" w:type="dxa"/>
              <w:left w:w="100" w:type="dxa"/>
              <w:right w:w="100" w:type="dxa"/>
            </w:tcMar>
          </w:tcPr>
          <w:p>
            <w:r>
              <w:t>Governance</w:t>
            </w:r>
          </w:p>
        </w:tc>
        <w:tc>
          <w:tcPr>
            <w:tcW w:type="dxa" w:w="3120"/>
            <w:shd w:fill="FFFFFF"/>
            <w:tcMar>
              <w:top w:w="50" w:type="dxa"/>
              <w:bottom w:w="50" w:type="dxa"/>
              <w:left w:w="100" w:type="dxa"/>
              <w:right w:w="100" w:type="dxa"/>
            </w:tcMar>
          </w:tcPr>
          <w:p>
            <w:r>
              <w:t>Protocol revisions following trial updates</w:t>
            </w:r>
          </w:p>
        </w:tc>
        <w:tc>
          <w:tcPr>
            <w:tcW w:type="dxa" w:w="3120"/>
            <w:shd w:fill="FFFFFF"/>
            <w:tcMar>
              <w:top w:w="50" w:type="dxa"/>
              <w:bottom w:w="50" w:type="dxa"/>
              <w:left w:w="100" w:type="dxa"/>
              <w:right w:w="100" w:type="dxa"/>
            </w:tcMar>
          </w:tcPr>
          <w:p>
            <w:r>
              <w:t>Immutable Version Audit Trail &amp; 1-Click Snapshot Restore</w:t>
            </w:r>
          </w:p>
        </w:tc>
      </w:tr>
    </w:tbl>
    <w:p>
      <w:pPr>
        <w:keepNext/>
        <w:spacing w:before="240" w:after="120"/>
        <w:jc w:val="left"/>
      </w:pPr>
      <w:r>
        <w:rPr>
          <w:rFonts w:ascii="Times New Roman" w:hAnsi="Times New Roman"/>
          <w:b/>
          <w:color w:val="132A31"/>
          <w:sz w:val="26"/>
        </w:rPr>
        <w:t>1.3 Problem Statement &amp; Motivation</w:t>
      </w:r>
    </w:p>
    <w:p>
      <w:pPr>
        <w:spacing w:after="120" w:line="276" w:lineRule="auto"/>
        <w:jc w:val="both"/>
      </w:pPr>
      <w:r>
        <w:rPr>
          <w:rFonts w:ascii="Times New Roman" w:hAnsi="Times New Roman"/>
          <w:b w:val="0"/>
          <w:i w:val="0"/>
          <w:color w:val="132A31"/>
          <w:sz w:val="24"/>
        </w:rPr>
        <w:t>Modern hospital wards face several severe challenges in knowledge governance:</w:t>
      </w:r>
    </w:p>
    <w:p>
      <w:pPr>
        <w:spacing w:after="120" w:line="276" w:lineRule="auto"/>
        <w:jc w:val="both"/>
      </w:pPr>
      <w:r>
        <w:rPr>
          <w:rFonts w:ascii="Times New Roman" w:hAnsi="Times New Roman"/>
          <w:b w:val="0"/>
          <w:i w:val="0"/>
          <w:color w:val="132A31"/>
          <w:sz w:val="24"/>
        </w:rPr>
        <w:t>1. Delay in Time-Critical Emergency Protocols: In acute conditions such as septic shock, ischemic stroke, or diabetic ketoacidosis, mortality escalates by 7.6% for every hour of therapeutic delay. Clinicians lose vital minutes searching through obsolete PDFs or unverified web articles.</w:t>
      </w:r>
    </w:p>
    <w:p>
      <w:pPr>
        <w:spacing w:after="120" w:line="276" w:lineRule="auto"/>
        <w:jc w:val="both"/>
      </w:pPr>
      <w:r>
        <w:rPr>
          <w:rFonts w:ascii="Times New Roman" w:hAnsi="Times New Roman"/>
          <w:b w:val="0"/>
          <w:i w:val="0"/>
          <w:color w:val="132A31"/>
          <w:sz w:val="24"/>
        </w:rPr>
        <w:t>2. High-Alert Medication Calculation Errors: Renal dose adjustments and intravenous infusion rate calculations performed manually on paper or unvalidated mobile apps introduce significant calculation errors, resulting in acute kidney injury or drug toxicities.</w:t>
      </w:r>
    </w:p>
    <w:p>
      <w:pPr>
        <w:spacing w:after="120" w:line="276" w:lineRule="auto"/>
        <w:jc w:val="both"/>
      </w:pPr>
      <w:r>
        <w:rPr>
          <w:rFonts w:ascii="Times New Roman" w:hAnsi="Times New Roman"/>
          <w:b w:val="0"/>
          <w:i w:val="0"/>
          <w:color w:val="132A31"/>
          <w:sz w:val="24"/>
        </w:rPr>
        <w:t>3. Absence of Audit Governance and Peer Review: In many hospital intranets, documents are updated without revision tracking, making it impossible to identify who modified a clinical guideline, what clinical evidence justified the edit, or how to revert to a prior validated version.</w:t>
      </w:r>
    </w:p>
    <w:p>
      <w:pPr>
        <w:spacing w:after="120" w:line="276" w:lineRule="auto"/>
        <w:jc w:val="both"/>
      </w:pPr>
      <w:r>
        <w:rPr>
          <w:rFonts w:ascii="Times New Roman" w:hAnsi="Times New Roman"/>
          <w:b w:val="0"/>
          <w:i w:val="0"/>
          <w:color w:val="132A31"/>
          <w:sz w:val="24"/>
        </w:rPr>
        <w:t>4. Disconnect Between Doctors, Nurses, and Pharmacy Staff: Knowledge creation is often restricted to administrative committees, leaving ward nurses and junior residents unable to submit protocol gap requests or validate guidelines based on real-world bedside experience.</w:t>
      </w:r>
    </w:p>
    <w:p>
      <w:pPr>
        <w:keepNext/>
        <w:spacing w:before="240" w:after="120"/>
        <w:jc w:val="left"/>
      </w:pPr>
      <w:r>
        <w:rPr>
          <w:rFonts w:ascii="Times New Roman" w:hAnsi="Times New Roman"/>
          <w:b/>
          <w:color w:val="132A31"/>
          <w:sz w:val="26"/>
        </w:rPr>
        <w:t>1.4 Project Objectives &amp; Scope</w:t>
      </w:r>
    </w:p>
    <w:p>
      <w:pPr>
        <w:spacing w:after="120" w:line="276" w:lineRule="auto"/>
        <w:jc w:val="both"/>
      </w:pPr>
      <w:r>
        <w:rPr>
          <w:rFonts w:ascii="Times New Roman" w:hAnsi="Times New Roman"/>
          <w:b w:val="0"/>
          <w:i w:val="0"/>
          <w:color w:val="132A31"/>
          <w:sz w:val="24"/>
        </w:rPr>
        <w:t>The primary objective of this project is to develop and deploy MedKnow, a robust, accessible, full-stack Healthcare Knowledge Management Portal. Specific technical and clinical goals include:</w:t>
      </w:r>
    </w:p>
    <w:p>
      <w:pPr>
        <w:spacing w:after="120" w:line="276" w:lineRule="auto"/>
        <w:jc w:val="both"/>
      </w:pPr>
      <w:r>
        <w:rPr>
          <w:rFonts w:ascii="Times New Roman" w:hAnsi="Times New Roman"/>
          <w:b w:val="0"/>
          <w:i w:val="0"/>
          <w:color w:val="132A31"/>
          <w:sz w:val="24"/>
        </w:rPr>
        <w:t>• To implement a 7-stage Knowledge Management lifecycle model encompassing capture, storage, multi-dimensional search, peer rating validation, dissemination, and retirement.</w:t>
      </w:r>
    </w:p>
    <w:p>
      <w:pPr>
        <w:spacing w:after="120" w:line="276" w:lineRule="auto"/>
        <w:jc w:val="both"/>
      </w:pPr>
      <w:r>
        <w:rPr>
          <w:rFonts w:ascii="Times New Roman" w:hAnsi="Times New Roman"/>
          <w:b w:val="0"/>
          <w:i w:val="0"/>
          <w:color w:val="132A31"/>
          <w:sz w:val="24"/>
        </w:rPr>
        <w:t>• To integrate five validated clinical decision support calculators (qSOFA, Cockcroft-Gault CrCl, BMI/IBW, IV Infusion Rate, and APGAR) with real-time interpretation.</w:t>
      </w:r>
    </w:p>
    <w:p>
      <w:pPr>
        <w:spacing w:after="120" w:line="276" w:lineRule="auto"/>
        <w:jc w:val="both"/>
      </w:pPr>
      <w:r>
        <w:rPr>
          <w:rFonts w:ascii="Times New Roman" w:hAnsi="Times New Roman"/>
          <w:b w:val="0"/>
          <w:i w:val="0"/>
          <w:color w:val="132A31"/>
          <w:sz w:val="24"/>
        </w:rPr>
        <w:t>• To enforce rigorous Role-Based Access Control (Super Administrator, Contributor/Clinician, and Viewer/Nurse) with JWT authentication.</w:t>
      </w:r>
    </w:p>
    <w:p>
      <w:pPr>
        <w:spacing w:after="120" w:line="276" w:lineRule="auto"/>
        <w:jc w:val="both"/>
      </w:pPr>
      <w:r>
        <w:rPr>
          <w:rFonts w:ascii="Times New Roman" w:hAnsi="Times New Roman"/>
          <w:b w:val="0"/>
          <w:i w:val="0"/>
          <w:color w:val="132A31"/>
          <w:sz w:val="24"/>
        </w:rPr>
        <w:t>• To build an immutable version history audit trail with line-by-line diff comparison and one-click snapshot restoration.</w:t>
      </w:r>
    </w:p>
    <w:p>
      <w:pPr>
        <w:spacing w:after="120" w:line="276" w:lineRule="auto"/>
        <w:jc w:val="both"/>
      </w:pPr>
      <w:r>
        <w:rPr>
          <w:rFonts w:ascii="Times New Roman" w:hAnsi="Times New Roman"/>
          <w:b w:val="0"/>
          <w:i w:val="0"/>
          <w:color w:val="132A31"/>
          <w:sz w:val="24"/>
        </w:rPr>
        <w:t>• To engineer a knowledge gap request system and clinical Q&amp;A consult board fostering inter-professional communities of practice.</w:t>
      </w:r>
    </w:p>
    <w:p>
      <w:pPr>
        <w:spacing w:after="120" w:line="276" w:lineRule="auto"/>
        <w:jc w:val="both"/>
      </w:pPr>
      <w:r>
        <w:rPr>
          <w:rFonts w:ascii="Times New Roman" w:hAnsi="Times New Roman"/>
          <w:b w:val="0"/>
          <w:i w:val="0"/>
          <w:color w:val="132A31"/>
          <w:sz w:val="24"/>
        </w:rPr>
        <w:t>• To deploy the platform on a production-ready, zero-downtime cloud hosting infrastructure accessible across all web and mobile browsers.</w:t>
      </w:r>
    </w:p>
    <w:p>
      <w:r>
        <w:br w:type="page"/>
      </w:r>
    </w:p>
    <w:p>
      <w:pPr>
        <w:keepNext/>
        <w:spacing w:before="320" w:after="160"/>
        <w:jc w:val="left"/>
      </w:pPr>
      <w:r>
        <w:rPr>
          <w:rFonts w:ascii="Times New Roman" w:hAnsi="Times New Roman"/>
          <w:b/>
          <w:color w:val="1F6F78"/>
          <w:sz w:val="28"/>
        </w:rPr>
        <w:t>CHAPTER 2: LITERATURE REVIEW &amp; BACKGROUND STUDY</w:t>
      </w:r>
    </w:p>
    <w:p>
      <w:pPr>
        <w:keepNext/>
        <w:spacing w:before="240" w:after="120"/>
        <w:jc w:val="left"/>
      </w:pPr>
      <w:r>
        <w:rPr>
          <w:rFonts w:ascii="Times New Roman" w:hAnsi="Times New Roman"/>
          <w:b/>
          <w:color w:val="132A31"/>
          <w:sz w:val="26"/>
        </w:rPr>
        <w:t>2.1 Evolution of Clinical Decision Support &amp; KM Systems</w:t>
      </w:r>
    </w:p>
    <w:p>
      <w:pPr>
        <w:spacing w:after="120" w:line="276" w:lineRule="auto"/>
        <w:jc w:val="both"/>
      </w:pPr>
      <w:r>
        <w:rPr>
          <w:rFonts w:ascii="Times New Roman" w:hAnsi="Times New Roman"/>
          <w:b w:val="0"/>
          <w:i w:val="0"/>
          <w:color w:val="132A31"/>
          <w:sz w:val="24"/>
        </w:rPr>
        <w:t>The convergence of health informatics and knowledge engineering has evolved over four distinct generations. Early medical decision support systems in the 1970s and 1980s, such as MYCIN and INTERNIST-1, utilized rule-based expert systems to diagnose bacteremia and internal diseases. While theoretically robust, these monolithic systems were hindered by the knowledge acquisition bottleneck and lacked dynamic organizational integration.</w:t>
      </w:r>
    </w:p>
    <w:p>
      <w:pPr>
        <w:spacing w:after="120" w:line="276" w:lineRule="auto"/>
        <w:jc w:val="both"/>
      </w:pPr>
      <w:r>
        <w:rPr>
          <w:rFonts w:ascii="Times New Roman" w:hAnsi="Times New Roman"/>
          <w:b w:val="0"/>
          <w:i w:val="0"/>
          <w:color w:val="132A31"/>
          <w:sz w:val="24"/>
        </w:rPr>
        <w:t>In the 1990s and 2000s, Electronic Health Record (EHR) systems became dominant following government digitization mandates. However, academic studies by Greenes (2014) and Sittig et al. (2018) highlighted that while EHRs efficiently log billing and patient encounters, they suffer from acute 'alert fatigue' and fail to serve as collaborative repositories for evolving medical procedures.</w:t>
      </w:r>
    </w:p>
    <w:p>
      <w:pPr>
        <w:keepNext/>
        <w:spacing w:before="240" w:after="120"/>
        <w:jc w:val="left"/>
      </w:pPr>
      <w:r>
        <w:rPr>
          <w:rFonts w:ascii="Times New Roman" w:hAnsi="Times New Roman"/>
          <w:b/>
          <w:color w:val="132A31"/>
          <w:sz w:val="26"/>
        </w:rPr>
        <w:t>2.2 Knowledge Life Cycle Theoretical Frameworks</w:t>
      </w:r>
    </w:p>
    <w:p>
      <w:pPr>
        <w:spacing w:after="120" w:line="276" w:lineRule="auto"/>
        <w:jc w:val="both"/>
      </w:pPr>
      <w:r>
        <w:rPr>
          <w:rFonts w:ascii="Times New Roman" w:hAnsi="Times New Roman"/>
          <w:b w:val="0"/>
          <w:i w:val="0"/>
          <w:color w:val="132A31"/>
          <w:sz w:val="24"/>
        </w:rPr>
        <w:t>MedKnow is theoretically grounded in established organizational Knowledge Management models:</w:t>
      </w:r>
    </w:p>
    <w:p>
      <w:pPr>
        <w:spacing w:after="120" w:line="276" w:lineRule="auto"/>
        <w:jc w:val="both"/>
      </w:pPr>
      <w:r>
        <w:rPr>
          <w:rFonts w:ascii="Times New Roman" w:hAnsi="Times New Roman"/>
          <w:b w:val="0"/>
          <w:i w:val="0"/>
          <w:color w:val="132A31"/>
          <w:sz w:val="24"/>
        </w:rPr>
        <w:t>1. Nonaka &amp; Takeuchi SECI Model (1995): Focuses on Socialization (sharing tacit experience), Externalization (articulating tacit knowledge into structured articles), Combination (categorizing and synthesizing guidelines), and Internalization (clinicians applying protocols at the bedside).</w:t>
      </w:r>
    </w:p>
    <w:p>
      <w:pPr>
        <w:spacing w:after="120" w:line="276" w:lineRule="auto"/>
        <w:jc w:val="both"/>
      </w:pPr>
      <w:r>
        <w:rPr>
          <w:rFonts w:ascii="Times New Roman" w:hAnsi="Times New Roman"/>
          <w:b w:val="0"/>
          <w:i w:val="0"/>
          <w:color w:val="132A31"/>
          <w:sz w:val="24"/>
        </w:rPr>
        <w:t>2. Wiig KM Cycle (1993): Emphasizes knowledge creation, sourcing, compilation, transformation, and application to solve complex institutional problems.</w:t>
      </w:r>
    </w:p>
    <w:p>
      <w:pPr>
        <w:spacing w:after="120" w:line="276" w:lineRule="auto"/>
        <w:jc w:val="both"/>
      </w:pPr>
      <w:r>
        <w:rPr>
          <w:rFonts w:ascii="Times New Roman" w:hAnsi="Times New Roman"/>
          <w:b w:val="0"/>
          <w:i w:val="0"/>
          <w:color w:val="132A31"/>
          <w:sz w:val="24"/>
        </w:rPr>
        <w:t>3. McElroy Knowledge Life Cycle (2003): Differentiates between individual knowledge production and organizational validation through group evaluation and consensus.</w:t>
      </w:r>
    </w:p>
    <w:p>
      <w:pPr>
        <w:keepNext/>
        <w:spacing w:before="240" w:after="120"/>
        <w:jc w:val="left"/>
      </w:pPr>
      <w:r>
        <w:rPr>
          <w:rFonts w:ascii="Times New Roman" w:hAnsi="Times New Roman"/>
          <w:b/>
          <w:color w:val="132A31"/>
          <w:sz w:val="26"/>
        </w:rPr>
        <w:t>2.3 Analysis of Existing Hospital Portals vs. MedKnow</w:t>
      </w:r>
    </w:p>
    <w:p>
      <w:pPr>
        <w:spacing w:after="120" w:line="276" w:lineRule="auto"/>
        <w:jc w:val="both"/>
      </w:pPr>
      <w:r>
        <w:rPr>
          <w:rFonts w:ascii="Times New Roman" w:hAnsi="Times New Roman"/>
          <w:b/>
          <w:i w:val="0"/>
          <w:color w:val="132A31"/>
          <w:sz w:val="22"/>
        </w:rPr>
        <w:t>Table 2.1: Comparative Feature Analysis of Existing Systems vs. MedKnow</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5E5E5"/>
          <w:insideV w:val="none"/>
          <w:left w:val="none"/>
          <w:right w:val="none"/>
        </w:tblBorders>
      </w:tblPr>
      <w:tblGrid>
        <w:gridCol w:w="2340"/>
        <w:gridCol w:w="2340"/>
        <w:gridCol w:w="2340"/>
        <w:gridCol w:w="2340"/>
      </w:tblGrid>
      <w:tr>
        <w:tc>
          <w:tcPr>
            <w:tcW w:type="dxa" w:w="2340"/>
            <w:shd w:fill="1F6F78"/>
            <w:tcMar>
              <w:top w:w="60" w:type="dxa"/>
              <w:bottom w:w="60" w:type="dxa"/>
              <w:left w:w="80" w:type="dxa"/>
              <w:right w:w="80" w:type="dxa"/>
            </w:tcMar>
          </w:tcPr>
          <w:p>
            <w:pPr>
              <w:jc w:val="center"/>
            </w:pPr>
            <w:r>
              <w:rPr>
                <w:b/>
                <w:color w:val="FFFFFF"/>
              </w:rPr>
              <w:t>Evaluation Metric</w:t>
            </w:r>
          </w:p>
        </w:tc>
        <w:tc>
          <w:tcPr>
            <w:tcW w:type="dxa" w:w="2340"/>
            <w:shd w:fill="1F6F78"/>
            <w:tcMar>
              <w:top w:w="60" w:type="dxa"/>
              <w:bottom w:w="60" w:type="dxa"/>
              <w:left w:w="80" w:type="dxa"/>
              <w:right w:w="80" w:type="dxa"/>
            </w:tcMar>
          </w:tcPr>
          <w:p>
            <w:pPr>
              <w:jc w:val="center"/>
            </w:pPr>
            <w:r>
              <w:rPr>
                <w:b/>
                <w:color w:val="FFFFFF"/>
              </w:rPr>
              <w:t>Legacy Hospital Intranet</w:t>
            </w:r>
          </w:p>
        </w:tc>
        <w:tc>
          <w:tcPr>
            <w:tcW w:type="dxa" w:w="2340"/>
            <w:shd w:fill="1F6F78"/>
            <w:tcMar>
              <w:top w:w="60" w:type="dxa"/>
              <w:bottom w:w="60" w:type="dxa"/>
              <w:left w:w="80" w:type="dxa"/>
              <w:right w:w="80" w:type="dxa"/>
            </w:tcMar>
          </w:tcPr>
          <w:p>
            <w:pPr>
              <w:jc w:val="center"/>
            </w:pPr>
            <w:r>
              <w:rPr>
                <w:b/>
                <w:color w:val="FFFFFF"/>
              </w:rPr>
              <w:t>Standard EHR Wiki</w:t>
            </w:r>
          </w:p>
        </w:tc>
        <w:tc>
          <w:tcPr>
            <w:tcW w:type="dxa" w:w="2340"/>
            <w:shd w:fill="1F6F78"/>
            <w:tcMar>
              <w:top w:w="60" w:type="dxa"/>
              <w:bottom w:w="60" w:type="dxa"/>
              <w:left w:w="80" w:type="dxa"/>
              <w:right w:w="80" w:type="dxa"/>
            </w:tcMar>
          </w:tcPr>
          <w:p>
            <w:pPr>
              <w:jc w:val="center"/>
            </w:pPr>
            <w:r>
              <w:rPr>
                <w:b/>
                <w:color w:val="FFFFFF"/>
              </w:rPr>
              <w:t>MedKnow Platform</w:t>
            </w:r>
          </w:p>
        </w:tc>
      </w:tr>
      <w:tr>
        <w:tc>
          <w:tcPr>
            <w:tcW w:type="dxa" w:w="2340"/>
            <w:shd w:fill="FFFFFF"/>
            <w:tcMar>
              <w:top w:w="50" w:type="dxa"/>
              <w:bottom w:w="50" w:type="dxa"/>
              <w:left w:w="80" w:type="dxa"/>
              <w:right w:w="80" w:type="dxa"/>
            </w:tcMar>
          </w:tcPr>
          <w:p>
            <w:r>
              <w:t>KM Lifecycle Mapping</w:t>
            </w:r>
          </w:p>
        </w:tc>
        <w:tc>
          <w:tcPr>
            <w:tcW w:type="dxa" w:w="2340"/>
            <w:shd w:fill="FFFFFF"/>
            <w:tcMar>
              <w:top w:w="50" w:type="dxa"/>
              <w:bottom w:w="50" w:type="dxa"/>
              <w:left w:w="80" w:type="dxa"/>
              <w:right w:w="80" w:type="dxa"/>
            </w:tcMar>
          </w:tcPr>
          <w:p>
            <w:r>
              <w:t>Static File Storage Only</w:t>
            </w:r>
          </w:p>
        </w:tc>
        <w:tc>
          <w:tcPr>
            <w:tcW w:type="dxa" w:w="2340"/>
            <w:shd w:fill="FFFFFF"/>
            <w:tcMar>
              <w:top w:w="50" w:type="dxa"/>
              <w:bottom w:w="50" w:type="dxa"/>
              <w:left w:w="80" w:type="dxa"/>
              <w:right w:w="80" w:type="dxa"/>
            </w:tcMar>
          </w:tcPr>
          <w:p>
            <w:r>
              <w:t>Basic Document Editing</w:t>
            </w:r>
          </w:p>
        </w:tc>
        <w:tc>
          <w:tcPr>
            <w:tcW w:type="dxa" w:w="2340"/>
            <w:shd w:fill="FFFFFF"/>
            <w:tcMar>
              <w:top w:w="50" w:type="dxa"/>
              <w:bottom w:w="50" w:type="dxa"/>
              <w:left w:w="80" w:type="dxa"/>
              <w:right w:w="80" w:type="dxa"/>
            </w:tcMar>
          </w:tcPr>
          <w:p>
            <w:r>
              <w:t>Complete 7-Stage KM Lifecycle</w:t>
            </w:r>
          </w:p>
        </w:tc>
      </w:tr>
      <w:tr>
        <w:tc>
          <w:tcPr>
            <w:tcW w:type="dxa" w:w="2340"/>
            <w:shd w:fill="EFF3F1"/>
            <w:tcMar>
              <w:top w:w="50" w:type="dxa"/>
              <w:bottom w:w="50" w:type="dxa"/>
              <w:left w:w="80" w:type="dxa"/>
              <w:right w:w="80" w:type="dxa"/>
            </w:tcMar>
          </w:tcPr>
          <w:p>
            <w:r>
              <w:t>Point-of-Care Calculators</w:t>
            </w:r>
          </w:p>
        </w:tc>
        <w:tc>
          <w:tcPr>
            <w:tcW w:type="dxa" w:w="2340"/>
            <w:shd w:fill="EFF3F1"/>
            <w:tcMar>
              <w:top w:w="50" w:type="dxa"/>
              <w:bottom w:w="50" w:type="dxa"/>
              <w:left w:w="80" w:type="dxa"/>
              <w:right w:w="80" w:type="dxa"/>
            </w:tcMar>
          </w:tcPr>
          <w:p>
            <w:r>
              <w:t>None (Manual Apps)</w:t>
            </w:r>
          </w:p>
        </w:tc>
        <w:tc>
          <w:tcPr>
            <w:tcW w:type="dxa" w:w="2340"/>
            <w:shd w:fill="EFF3F1"/>
            <w:tcMar>
              <w:top w:w="50" w:type="dxa"/>
              <w:bottom w:w="50" w:type="dxa"/>
              <w:left w:w="80" w:type="dxa"/>
              <w:right w:w="80" w:type="dxa"/>
            </w:tcMar>
          </w:tcPr>
          <w:p>
            <w:r>
              <w:t>Rarely Integrated</w:t>
            </w:r>
          </w:p>
        </w:tc>
        <w:tc>
          <w:tcPr>
            <w:tcW w:type="dxa" w:w="2340"/>
            <w:shd w:fill="EFF3F1"/>
            <w:tcMar>
              <w:top w:w="50" w:type="dxa"/>
              <w:bottom w:w="50" w:type="dxa"/>
              <w:left w:w="80" w:type="dxa"/>
              <w:right w:w="80" w:type="dxa"/>
            </w:tcMar>
          </w:tcPr>
          <w:p>
            <w:r>
              <w:t>5 Built-in Validated Calculators</w:t>
            </w:r>
          </w:p>
        </w:tc>
      </w:tr>
      <w:tr>
        <w:tc>
          <w:tcPr>
            <w:tcW w:type="dxa" w:w="2340"/>
            <w:shd w:fill="FFFFFF"/>
            <w:tcMar>
              <w:top w:w="50" w:type="dxa"/>
              <w:bottom w:w="50" w:type="dxa"/>
              <w:left w:w="80" w:type="dxa"/>
              <w:right w:w="80" w:type="dxa"/>
            </w:tcMar>
          </w:tcPr>
          <w:p>
            <w:r>
              <w:t>Audit Trail &amp; Diff Viewer</w:t>
            </w:r>
          </w:p>
        </w:tc>
        <w:tc>
          <w:tcPr>
            <w:tcW w:type="dxa" w:w="2340"/>
            <w:shd w:fill="FFFFFF"/>
            <w:tcMar>
              <w:top w:w="50" w:type="dxa"/>
              <w:bottom w:w="50" w:type="dxa"/>
              <w:left w:w="80" w:type="dxa"/>
              <w:right w:w="80" w:type="dxa"/>
            </w:tcMar>
          </w:tcPr>
          <w:p>
            <w:r>
              <w:t>Timestamp Only</w:t>
            </w:r>
          </w:p>
        </w:tc>
        <w:tc>
          <w:tcPr>
            <w:tcW w:type="dxa" w:w="2340"/>
            <w:shd w:fill="FFFFFF"/>
            <w:tcMar>
              <w:top w:w="50" w:type="dxa"/>
              <w:bottom w:w="50" w:type="dxa"/>
              <w:left w:w="80" w:type="dxa"/>
              <w:right w:w="80" w:type="dxa"/>
            </w:tcMar>
          </w:tcPr>
          <w:p>
            <w:r>
              <w:t>Basic Wiki History</w:t>
            </w:r>
          </w:p>
        </w:tc>
        <w:tc>
          <w:tcPr>
            <w:tcW w:type="dxa" w:w="2340"/>
            <w:shd w:fill="FFFFFF"/>
            <w:tcMar>
              <w:top w:w="50" w:type="dxa"/>
              <w:bottom w:w="50" w:type="dxa"/>
              <w:left w:w="80" w:type="dxa"/>
              <w:right w:w="80" w:type="dxa"/>
            </w:tcMar>
          </w:tcPr>
          <w:p>
            <w:r>
              <w:t>Immutable Snapshots + 1-Click Restore</w:t>
            </w:r>
          </w:p>
        </w:tc>
      </w:tr>
      <w:tr>
        <w:tc>
          <w:tcPr>
            <w:tcW w:type="dxa" w:w="2340"/>
            <w:shd w:fill="EFF3F1"/>
            <w:tcMar>
              <w:top w:w="50" w:type="dxa"/>
              <w:bottom w:w="50" w:type="dxa"/>
              <w:left w:w="80" w:type="dxa"/>
              <w:right w:w="80" w:type="dxa"/>
            </w:tcMar>
          </w:tcPr>
          <w:p>
            <w:r>
              <w:t>Evidence Grading Hierarchy</w:t>
            </w:r>
          </w:p>
        </w:tc>
        <w:tc>
          <w:tcPr>
            <w:tcW w:type="dxa" w:w="2340"/>
            <w:shd w:fill="EFF3F1"/>
            <w:tcMar>
              <w:top w:w="50" w:type="dxa"/>
              <w:bottom w:w="50" w:type="dxa"/>
              <w:left w:w="80" w:type="dxa"/>
              <w:right w:w="80" w:type="dxa"/>
            </w:tcMar>
          </w:tcPr>
          <w:p>
            <w:r>
              <w:t>Uncategorized</w:t>
            </w:r>
          </w:p>
        </w:tc>
        <w:tc>
          <w:tcPr>
            <w:tcW w:type="dxa" w:w="2340"/>
            <w:shd w:fill="EFF3F1"/>
            <w:tcMar>
              <w:top w:w="50" w:type="dxa"/>
              <w:bottom w:w="50" w:type="dxa"/>
              <w:left w:w="80" w:type="dxa"/>
              <w:right w:w="80" w:type="dxa"/>
            </w:tcMar>
          </w:tcPr>
          <w:p>
            <w:r>
              <w:t>Text Label Only</w:t>
            </w:r>
          </w:p>
        </w:tc>
        <w:tc>
          <w:tcPr>
            <w:tcW w:type="dxa" w:w="2340"/>
            <w:shd w:fill="EFF3F1"/>
            <w:tcMar>
              <w:top w:w="50" w:type="dxa"/>
              <w:bottom w:w="50" w:type="dxa"/>
              <w:left w:w="80" w:type="dxa"/>
              <w:right w:w="80" w:type="dxa"/>
            </w:tcMar>
          </w:tcPr>
          <w:p>
            <w:r>
              <w:t>Levels I–IV Badges &amp; Urgency Filtering</w:t>
            </w:r>
          </w:p>
        </w:tc>
      </w:tr>
      <w:tr>
        <w:tc>
          <w:tcPr>
            <w:tcW w:type="dxa" w:w="2340"/>
            <w:shd w:fill="FFFFFF"/>
            <w:tcMar>
              <w:top w:w="50" w:type="dxa"/>
              <w:bottom w:w="50" w:type="dxa"/>
              <w:left w:w="80" w:type="dxa"/>
              <w:right w:w="80" w:type="dxa"/>
            </w:tcMar>
          </w:tcPr>
          <w:p>
            <w:r>
              <w:t>Peer Validation &amp; Ratings</w:t>
            </w:r>
          </w:p>
        </w:tc>
        <w:tc>
          <w:tcPr>
            <w:tcW w:type="dxa" w:w="2340"/>
            <w:shd w:fill="FFFFFF"/>
            <w:tcMar>
              <w:top w:w="50" w:type="dxa"/>
              <w:bottom w:w="50" w:type="dxa"/>
              <w:left w:w="80" w:type="dxa"/>
              <w:right w:w="80" w:type="dxa"/>
            </w:tcMar>
          </w:tcPr>
          <w:p>
            <w:r>
              <w:t>None</w:t>
            </w:r>
          </w:p>
        </w:tc>
        <w:tc>
          <w:tcPr>
            <w:tcW w:type="dxa" w:w="2340"/>
            <w:shd w:fill="FFFFFF"/>
            <w:tcMar>
              <w:top w:w="50" w:type="dxa"/>
              <w:bottom w:w="50" w:type="dxa"/>
              <w:left w:w="80" w:type="dxa"/>
              <w:right w:w="80" w:type="dxa"/>
            </w:tcMar>
          </w:tcPr>
          <w:p>
            <w:r>
              <w:t>Basic Comments</w:t>
            </w:r>
          </w:p>
        </w:tc>
        <w:tc>
          <w:tcPr>
            <w:tcW w:type="dxa" w:w="2340"/>
            <w:shd w:fill="FFFFFF"/>
            <w:tcMar>
              <w:top w:w="50" w:type="dxa"/>
              <w:bottom w:w="50" w:type="dxa"/>
              <w:left w:w="80" w:type="dxa"/>
              <w:right w:w="80" w:type="dxa"/>
            </w:tcMar>
          </w:tcPr>
          <w:p>
            <w:r>
              <w:t>5-Star Upsert Rating &amp; Clinical Notes</w:t>
            </w:r>
          </w:p>
        </w:tc>
      </w:tr>
      <w:tr>
        <w:tc>
          <w:tcPr>
            <w:tcW w:type="dxa" w:w="2340"/>
            <w:shd w:fill="EFF3F1"/>
            <w:tcMar>
              <w:top w:w="50" w:type="dxa"/>
              <w:bottom w:w="50" w:type="dxa"/>
              <w:left w:w="80" w:type="dxa"/>
              <w:right w:w="80" w:type="dxa"/>
            </w:tcMar>
          </w:tcPr>
          <w:p>
            <w:r>
              <w:t>Ward Protocol Print Mode</w:t>
            </w:r>
          </w:p>
        </w:tc>
        <w:tc>
          <w:tcPr>
            <w:tcW w:type="dxa" w:w="2340"/>
            <w:shd w:fill="EFF3F1"/>
            <w:tcMar>
              <w:top w:w="50" w:type="dxa"/>
              <w:bottom w:w="50" w:type="dxa"/>
              <w:left w:w="80" w:type="dxa"/>
              <w:right w:w="80" w:type="dxa"/>
            </w:tcMar>
          </w:tcPr>
          <w:p>
            <w:r>
              <w:t>Raw Web Print</w:t>
            </w:r>
          </w:p>
        </w:tc>
        <w:tc>
          <w:tcPr>
            <w:tcW w:type="dxa" w:w="2340"/>
            <w:shd w:fill="EFF3F1"/>
            <w:tcMar>
              <w:top w:w="50" w:type="dxa"/>
              <w:bottom w:w="50" w:type="dxa"/>
              <w:left w:w="80" w:type="dxa"/>
              <w:right w:w="80" w:type="dxa"/>
            </w:tcMar>
          </w:tcPr>
          <w:p>
            <w:r>
              <w:t>Distorted Web Print</w:t>
            </w:r>
          </w:p>
        </w:tc>
        <w:tc>
          <w:tcPr>
            <w:tcW w:type="dxa" w:w="2340"/>
            <w:shd w:fill="EFF3F1"/>
            <w:tcMar>
              <w:top w:w="50" w:type="dxa"/>
              <w:bottom w:w="50" w:type="dxa"/>
              <w:left w:w="80" w:type="dxa"/>
              <w:right w:w="80" w:type="dxa"/>
            </w:tcMar>
          </w:tcPr>
          <w:p>
            <w:r>
              <w:t>Hospital Header Bedside Sheet Format</w:t>
            </w:r>
          </w:p>
        </w:tc>
      </w:tr>
    </w:tbl>
    <w:p>
      <w:pPr>
        <w:keepNext/>
        <w:spacing w:before="240" w:after="120"/>
        <w:jc w:val="left"/>
      </w:pPr>
      <w:r>
        <w:rPr>
          <w:rFonts w:ascii="Times New Roman" w:hAnsi="Times New Roman"/>
          <w:b/>
          <w:color w:val="132A31"/>
          <w:sz w:val="26"/>
        </w:rPr>
        <w:t>2.4 Gaps Identified in Existing Literature</w:t>
      </w:r>
    </w:p>
    <w:p>
      <w:pPr>
        <w:spacing w:after="120" w:line="276" w:lineRule="auto"/>
        <w:jc w:val="both"/>
      </w:pPr>
      <w:r>
        <w:rPr>
          <w:rFonts w:ascii="Times New Roman" w:hAnsi="Times New Roman"/>
          <w:b w:val="0"/>
          <w:i w:val="0"/>
          <w:color w:val="132A31"/>
          <w:sz w:val="24"/>
        </w:rPr>
        <w:t>The literature review revealed four critical deficiencies in current healthcare portals: (1) Lack of integration between knowledge documentation and computational decision support; (2) Absence of collaborative knowledge-gap request workflows from frontline nurses; (3) Inadequate version diff comparison during protocol updates; and (4) High licensing costs and complex deployments that exclude resource-constrained community hospitals. MedKnow was conceptualized and engineered to directly bridge these gaps.</w:t>
      </w:r>
    </w:p>
    <w:p>
      <w:r>
        <w:br w:type="page"/>
      </w:r>
    </w:p>
    <w:p>
      <w:pPr>
        <w:keepNext/>
        <w:spacing w:before="320" w:after="160"/>
        <w:jc w:val="left"/>
      </w:pPr>
      <w:r>
        <w:rPr>
          <w:rFonts w:ascii="Times New Roman" w:hAnsi="Times New Roman"/>
          <w:b/>
          <w:color w:val="1F6F78"/>
          <w:sz w:val="28"/>
        </w:rPr>
        <w:t>CHAPTER 3: SYSTEM REQUIREMENTS &amp; SPECIFICATIONS</w:t>
      </w:r>
    </w:p>
    <w:p>
      <w:pPr>
        <w:keepNext/>
        <w:spacing w:before="240" w:after="120"/>
        <w:jc w:val="left"/>
      </w:pPr>
      <w:r>
        <w:rPr>
          <w:rFonts w:ascii="Times New Roman" w:hAnsi="Times New Roman"/>
          <w:b/>
          <w:color w:val="132A31"/>
          <w:sz w:val="26"/>
        </w:rPr>
        <w:t>3.1 Functional Requirements Matrix</w:t>
      </w:r>
    </w:p>
    <w:p>
      <w:pPr>
        <w:spacing w:after="120" w:line="276" w:lineRule="auto"/>
        <w:jc w:val="both"/>
      </w:pPr>
      <w:r>
        <w:rPr>
          <w:rFonts w:ascii="Times New Roman" w:hAnsi="Times New Roman"/>
          <w:b w:val="0"/>
          <w:i w:val="0"/>
          <w:color w:val="132A31"/>
          <w:sz w:val="24"/>
        </w:rPr>
        <w:t>The MedKnow system fulfills the following core functional requirements categorized by functional subsystem:</w:t>
      </w:r>
    </w:p>
    <w:p>
      <w:pPr>
        <w:spacing w:after="120" w:line="276" w:lineRule="auto"/>
        <w:jc w:val="both"/>
      </w:pPr>
      <w:r>
        <w:rPr>
          <w:rFonts w:ascii="Times New Roman" w:hAnsi="Times New Roman"/>
          <w:b w:val="0"/>
          <w:i w:val="0"/>
          <w:color w:val="132A31"/>
          <w:sz w:val="24"/>
        </w:rPr>
        <w:t>• FR-01 User Authentication &amp; RBAC: Secure registration, login, and JWT bearer token issuance supporting Super Administrator, Contributor, and Viewer roles.</w:t>
      </w:r>
    </w:p>
    <w:p>
      <w:pPr>
        <w:spacing w:after="120" w:line="276" w:lineRule="auto"/>
        <w:jc w:val="both"/>
      </w:pPr>
      <w:r>
        <w:rPr>
          <w:rFonts w:ascii="Times New Roman" w:hAnsi="Times New Roman"/>
          <w:b w:val="0"/>
          <w:i w:val="0"/>
          <w:color w:val="132A31"/>
          <w:sz w:val="24"/>
        </w:rPr>
        <w:t>• FR-02 Knowledge Asset Management: Create, read, update, delete, search, and filter clinical protocols with markdown formatting, evidence badges, and target audience metadata.</w:t>
      </w:r>
    </w:p>
    <w:p>
      <w:pPr>
        <w:spacing w:after="120" w:line="276" w:lineRule="auto"/>
        <w:jc w:val="both"/>
      </w:pPr>
      <w:r>
        <w:rPr>
          <w:rFonts w:ascii="Times New Roman" w:hAnsi="Times New Roman"/>
          <w:b w:val="0"/>
          <w:i w:val="0"/>
          <w:color w:val="132A31"/>
          <w:sz w:val="24"/>
        </w:rPr>
        <w:t>• FR-03 Governance &amp; Review Queue: Submission of draft assets for peer review, reviewer approval/rejection workflows, and protocol retirement/archival.</w:t>
      </w:r>
    </w:p>
    <w:p>
      <w:pPr>
        <w:spacing w:after="120" w:line="276" w:lineRule="auto"/>
        <w:jc w:val="both"/>
      </w:pPr>
      <w:r>
        <w:rPr>
          <w:rFonts w:ascii="Times New Roman" w:hAnsi="Times New Roman"/>
          <w:b w:val="0"/>
          <w:i w:val="0"/>
          <w:color w:val="132A31"/>
          <w:sz w:val="24"/>
        </w:rPr>
        <w:t>• FR-04 Audit Trail &amp; Snapshot Restore: Automated version snapshotting on every update with visual line diff inspection and one-click version restoration.</w:t>
      </w:r>
    </w:p>
    <w:p>
      <w:pPr>
        <w:spacing w:after="120" w:line="276" w:lineRule="auto"/>
        <w:jc w:val="both"/>
      </w:pPr>
      <w:r>
        <w:rPr>
          <w:rFonts w:ascii="Times New Roman" w:hAnsi="Times New Roman"/>
          <w:b w:val="0"/>
          <w:i w:val="0"/>
          <w:color w:val="132A31"/>
          <w:sz w:val="24"/>
        </w:rPr>
        <w:t>• FR-05 Clinical Decision Calculators: Real-time execution of qSOFA, Cockcroft-Gault CrCl, BMI/IBW, IV Infusion Drip, and APGAR score equations.</w:t>
      </w:r>
    </w:p>
    <w:p>
      <w:pPr>
        <w:spacing w:after="120" w:line="276" w:lineRule="auto"/>
        <w:jc w:val="both"/>
      </w:pPr>
      <w:r>
        <w:rPr>
          <w:rFonts w:ascii="Times New Roman" w:hAnsi="Times New Roman"/>
          <w:b w:val="0"/>
          <w:i w:val="0"/>
          <w:color w:val="132A31"/>
          <w:sz w:val="24"/>
        </w:rPr>
        <w:t>• FR-06 Knowledge Gap Board: Staff creation of guideline requests with community upvoting and specialist assignment tracking.</w:t>
      </w:r>
    </w:p>
    <w:p>
      <w:pPr>
        <w:spacing w:after="120" w:line="276" w:lineRule="auto"/>
        <w:jc w:val="both"/>
      </w:pPr>
      <w:r>
        <w:rPr>
          <w:rFonts w:ascii="Times New Roman" w:hAnsi="Times New Roman"/>
          <w:b w:val="0"/>
          <w:i w:val="0"/>
          <w:color w:val="132A31"/>
          <w:sz w:val="24"/>
        </w:rPr>
        <w:t>• FR-07 Clinical Consults &amp; Q&amp;A: Question submission, clinical answers, and verified consensus designation.</w:t>
      </w:r>
    </w:p>
    <w:p>
      <w:pPr>
        <w:spacing w:after="120" w:line="276" w:lineRule="auto"/>
        <w:jc w:val="both"/>
      </w:pPr>
      <w:r>
        <w:rPr>
          <w:rFonts w:ascii="Times New Roman" w:hAnsi="Times New Roman"/>
          <w:b w:val="0"/>
          <w:i w:val="0"/>
          <w:color w:val="132A31"/>
          <w:sz w:val="24"/>
        </w:rPr>
        <w:t>• FR-08 Hospital Clinical Advisories: Broadcast of high-priority urgent banners across the hospital portal.</w:t>
      </w:r>
    </w:p>
    <w:p>
      <w:pPr>
        <w:keepNext/>
        <w:spacing w:before="240" w:after="120"/>
        <w:jc w:val="left"/>
      </w:pPr>
      <w:r>
        <w:rPr>
          <w:rFonts w:ascii="Times New Roman" w:hAnsi="Times New Roman"/>
          <w:b/>
          <w:color w:val="132A31"/>
          <w:sz w:val="26"/>
        </w:rPr>
        <w:t>3.2 Non-Functional &amp; Security Requirements</w:t>
      </w:r>
    </w:p>
    <w:p>
      <w:pPr>
        <w:spacing w:after="120" w:line="276" w:lineRule="auto"/>
        <w:jc w:val="both"/>
      </w:pPr>
      <w:r>
        <w:rPr>
          <w:rFonts w:ascii="Times New Roman" w:hAnsi="Times New Roman"/>
          <w:b w:val="0"/>
          <w:i w:val="0"/>
          <w:color w:val="132A31"/>
          <w:sz w:val="24"/>
        </w:rPr>
        <w:t>• NFR-01 Security &amp; Confidentiality: Passwords hashed using Werkzeug PBKDF2 with SHA-256; stateless HMAC-SHA256 JWT tokens; secure HTTP proxy headers.</w:t>
      </w:r>
    </w:p>
    <w:p>
      <w:pPr>
        <w:spacing w:after="120" w:line="276" w:lineRule="auto"/>
        <w:jc w:val="both"/>
      </w:pPr>
      <w:r>
        <w:rPr>
          <w:rFonts w:ascii="Times New Roman" w:hAnsi="Times New Roman"/>
          <w:b w:val="0"/>
          <w:i w:val="0"/>
          <w:color w:val="132A31"/>
          <w:sz w:val="24"/>
        </w:rPr>
        <w:t>• NFR-02 Response Latency: API endpoints return payloads in under 100 milliseconds under standard load conditions.</w:t>
      </w:r>
    </w:p>
    <w:p>
      <w:pPr>
        <w:spacing w:after="120" w:line="276" w:lineRule="auto"/>
        <w:jc w:val="both"/>
      </w:pPr>
      <w:r>
        <w:rPr>
          <w:rFonts w:ascii="Times New Roman" w:hAnsi="Times New Roman"/>
          <w:b w:val="0"/>
          <w:i w:val="0"/>
          <w:color w:val="132A31"/>
          <w:sz w:val="24"/>
        </w:rPr>
        <w:t>• NFR-03 Reliability &amp; Fault Tolerance: Multi-database engine compatibility (SQLite fallback for offline/isolated wards, PostgreSQL for enterprise cloud).</w:t>
      </w:r>
    </w:p>
    <w:p>
      <w:pPr>
        <w:spacing w:after="120" w:line="276" w:lineRule="auto"/>
        <w:jc w:val="both"/>
      </w:pPr>
      <w:r>
        <w:rPr>
          <w:rFonts w:ascii="Times New Roman" w:hAnsi="Times New Roman"/>
          <w:b w:val="0"/>
          <w:i w:val="0"/>
          <w:color w:val="132A31"/>
          <w:sz w:val="24"/>
        </w:rPr>
        <w:t>• NFR-04 Usability &amp; Accessibility: High-contrast clinical typography (Inter and Fraunces), responsive drawer navigation for mobile tablets, and clean CSS print media formatting.</w:t>
      </w:r>
    </w:p>
    <w:p>
      <w:pPr>
        <w:keepNext/>
        <w:spacing w:before="240" w:after="120"/>
        <w:jc w:val="left"/>
      </w:pPr>
      <w:r>
        <w:rPr>
          <w:rFonts w:ascii="Times New Roman" w:hAnsi="Times New Roman"/>
          <w:b/>
          <w:color w:val="132A31"/>
          <w:sz w:val="26"/>
        </w:rPr>
        <w:t>3.3 Hardware &amp; Software Specifications</w:t>
      </w:r>
    </w:p>
    <w:p>
      <w:pPr>
        <w:spacing w:after="120" w:line="276" w:lineRule="auto"/>
        <w:jc w:val="both"/>
      </w:pPr>
      <w:r>
        <w:rPr>
          <w:rFonts w:ascii="Times New Roman" w:hAnsi="Times New Roman"/>
          <w:b/>
          <w:i w:val="0"/>
          <w:color w:val="132A31"/>
          <w:sz w:val="22"/>
        </w:rPr>
        <w:t>Table 3.1: Hardware and Software Specifications</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5E5E5"/>
          <w:insideV w:val="none"/>
          <w:left w:val="none"/>
          <w:right w:val="none"/>
        </w:tblBorders>
      </w:tblPr>
      <w:tblGrid>
        <w:gridCol w:w="3120"/>
        <w:gridCol w:w="3120"/>
        <w:gridCol w:w="3120"/>
      </w:tblGrid>
      <w:tr>
        <w:tc>
          <w:tcPr>
            <w:tcW w:type="dxa" w:w="3120"/>
            <w:shd w:fill="1F6F78"/>
            <w:tcMar>
              <w:top w:w="60" w:type="dxa"/>
              <w:bottom w:w="60" w:type="dxa"/>
              <w:left w:w="80" w:type="dxa"/>
              <w:right w:w="80" w:type="dxa"/>
            </w:tcMar>
          </w:tcPr>
          <w:p>
            <w:pPr>
              <w:jc w:val="center"/>
            </w:pPr>
            <w:r>
              <w:rPr>
                <w:b/>
                <w:color w:val="FFFFFF"/>
              </w:rPr>
              <w:t>Layer</w:t>
            </w:r>
          </w:p>
        </w:tc>
        <w:tc>
          <w:tcPr>
            <w:tcW w:type="dxa" w:w="3120"/>
            <w:shd w:fill="1F6F78"/>
            <w:tcMar>
              <w:top w:w="60" w:type="dxa"/>
              <w:bottom w:w="60" w:type="dxa"/>
              <w:left w:w="80" w:type="dxa"/>
              <w:right w:w="80" w:type="dxa"/>
            </w:tcMar>
          </w:tcPr>
          <w:p>
            <w:pPr>
              <w:jc w:val="center"/>
            </w:pPr>
            <w:r>
              <w:rPr>
                <w:b/>
                <w:color w:val="FFFFFF"/>
              </w:rPr>
              <w:t>Development Environment</w:t>
            </w:r>
          </w:p>
        </w:tc>
        <w:tc>
          <w:tcPr>
            <w:tcW w:type="dxa" w:w="3120"/>
            <w:shd w:fill="1F6F78"/>
            <w:tcMar>
              <w:top w:w="60" w:type="dxa"/>
              <w:bottom w:w="60" w:type="dxa"/>
              <w:left w:w="80" w:type="dxa"/>
              <w:right w:w="80" w:type="dxa"/>
            </w:tcMar>
          </w:tcPr>
          <w:p>
            <w:pPr>
              <w:jc w:val="center"/>
            </w:pPr>
            <w:r>
              <w:rPr>
                <w:b/>
                <w:color w:val="FFFFFF"/>
              </w:rPr>
              <w:t>Production Cloud Environment</w:t>
            </w:r>
          </w:p>
        </w:tc>
      </w:tr>
      <w:tr>
        <w:tc>
          <w:tcPr>
            <w:tcW w:type="dxa" w:w="3120"/>
            <w:shd w:fill="FFFFFF"/>
            <w:tcMar>
              <w:top w:w="50" w:type="dxa"/>
              <w:bottom w:w="50" w:type="dxa"/>
              <w:left w:w="80" w:type="dxa"/>
              <w:right w:w="80" w:type="dxa"/>
            </w:tcMar>
          </w:tcPr>
          <w:p>
            <w:r>
              <w:t>Processor / CPU</w:t>
            </w:r>
          </w:p>
        </w:tc>
        <w:tc>
          <w:tcPr>
            <w:tcW w:type="dxa" w:w="3120"/>
            <w:shd w:fill="FFFFFF"/>
            <w:tcMar>
              <w:top w:w="50" w:type="dxa"/>
              <w:bottom w:w="50" w:type="dxa"/>
              <w:left w:w="80" w:type="dxa"/>
              <w:right w:w="80" w:type="dxa"/>
            </w:tcMar>
          </w:tcPr>
          <w:p>
            <w:r>
              <w:t>Intel Core i5 / AMD Ryzen 5, 2.4 GHz</w:t>
            </w:r>
          </w:p>
        </w:tc>
        <w:tc>
          <w:tcPr>
            <w:tcW w:type="dxa" w:w="3120"/>
            <w:shd w:fill="FFFFFF"/>
            <w:tcMar>
              <w:top w:w="50" w:type="dxa"/>
              <w:bottom w:w="50" w:type="dxa"/>
              <w:left w:w="80" w:type="dxa"/>
              <w:right w:w="80" w:type="dxa"/>
            </w:tcMar>
          </w:tcPr>
          <w:p>
            <w:r>
              <w:t>Cloud Virtual CPU (0.5 vCPU Free Tier / Multi-core)</w:t>
            </w:r>
          </w:p>
        </w:tc>
      </w:tr>
      <w:tr>
        <w:tc>
          <w:tcPr>
            <w:tcW w:type="dxa" w:w="3120"/>
            <w:shd w:fill="EFF3F1"/>
            <w:tcMar>
              <w:top w:w="50" w:type="dxa"/>
              <w:bottom w:w="50" w:type="dxa"/>
              <w:left w:w="80" w:type="dxa"/>
              <w:right w:w="80" w:type="dxa"/>
            </w:tcMar>
          </w:tcPr>
          <w:p>
            <w:r>
              <w:t>RAM / Memory</w:t>
            </w:r>
          </w:p>
        </w:tc>
        <w:tc>
          <w:tcPr>
            <w:tcW w:type="dxa" w:w="3120"/>
            <w:shd w:fill="EFF3F1"/>
            <w:tcMar>
              <w:top w:w="50" w:type="dxa"/>
              <w:bottom w:w="50" w:type="dxa"/>
              <w:left w:w="80" w:type="dxa"/>
              <w:right w:w="80" w:type="dxa"/>
            </w:tcMar>
          </w:tcPr>
          <w:p>
            <w:r>
              <w:t>8 GB DDR4 RAM</w:t>
            </w:r>
          </w:p>
        </w:tc>
        <w:tc>
          <w:tcPr>
            <w:tcW w:type="dxa" w:w="3120"/>
            <w:shd w:fill="EFF3F1"/>
            <w:tcMar>
              <w:top w:w="50" w:type="dxa"/>
              <w:bottom w:w="50" w:type="dxa"/>
              <w:left w:w="80" w:type="dxa"/>
              <w:right w:w="80" w:type="dxa"/>
            </w:tcMar>
          </w:tcPr>
          <w:p>
            <w:r>
              <w:t>512 MB – 2 GB RAM</w:t>
            </w:r>
          </w:p>
        </w:tc>
      </w:tr>
      <w:tr>
        <w:tc>
          <w:tcPr>
            <w:tcW w:type="dxa" w:w="3120"/>
            <w:shd w:fill="FFFFFF"/>
            <w:tcMar>
              <w:top w:w="50" w:type="dxa"/>
              <w:bottom w:w="50" w:type="dxa"/>
              <w:left w:w="80" w:type="dxa"/>
              <w:right w:w="80" w:type="dxa"/>
            </w:tcMar>
          </w:tcPr>
          <w:p>
            <w:r>
              <w:t>Operating System</w:t>
            </w:r>
          </w:p>
        </w:tc>
        <w:tc>
          <w:tcPr>
            <w:tcW w:type="dxa" w:w="3120"/>
            <w:shd w:fill="FFFFFF"/>
            <w:tcMar>
              <w:top w:w="50" w:type="dxa"/>
              <w:bottom w:w="50" w:type="dxa"/>
              <w:left w:w="80" w:type="dxa"/>
              <w:right w:w="80" w:type="dxa"/>
            </w:tcMar>
          </w:tcPr>
          <w:p>
            <w:r>
              <w:t>Windows 11 / Linux Ubuntu 22.04</w:t>
            </w:r>
          </w:p>
        </w:tc>
        <w:tc>
          <w:tcPr>
            <w:tcW w:type="dxa" w:w="3120"/>
            <w:shd w:fill="FFFFFF"/>
            <w:tcMar>
              <w:top w:w="50" w:type="dxa"/>
              <w:bottom w:w="50" w:type="dxa"/>
              <w:left w:w="80" w:type="dxa"/>
              <w:right w:w="80" w:type="dxa"/>
            </w:tcMar>
          </w:tcPr>
          <w:p>
            <w:r>
              <w:t>Linux Debian Slim Container / Cloud VM</w:t>
            </w:r>
          </w:p>
        </w:tc>
      </w:tr>
      <w:tr>
        <w:tc>
          <w:tcPr>
            <w:tcW w:type="dxa" w:w="3120"/>
            <w:shd w:fill="EFF3F1"/>
            <w:tcMar>
              <w:top w:w="50" w:type="dxa"/>
              <w:bottom w:w="50" w:type="dxa"/>
              <w:left w:w="80" w:type="dxa"/>
              <w:right w:w="80" w:type="dxa"/>
            </w:tcMar>
          </w:tcPr>
          <w:p>
            <w:r>
              <w:t>Backend Runtime</w:t>
            </w:r>
          </w:p>
        </w:tc>
        <w:tc>
          <w:tcPr>
            <w:tcW w:type="dxa" w:w="3120"/>
            <w:shd w:fill="EFF3F1"/>
            <w:tcMar>
              <w:top w:w="50" w:type="dxa"/>
              <w:bottom w:w="50" w:type="dxa"/>
              <w:left w:w="80" w:type="dxa"/>
              <w:right w:w="80" w:type="dxa"/>
            </w:tcMar>
          </w:tcPr>
          <w:p>
            <w:r>
              <w:t>Python 3.12.4, Flask 3.0.3</w:t>
            </w:r>
          </w:p>
        </w:tc>
        <w:tc>
          <w:tcPr>
            <w:tcW w:type="dxa" w:w="3120"/>
            <w:shd w:fill="EFF3F1"/>
            <w:tcMar>
              <w:top w:w="50" w:type="dxa"/>
              <w:bottom w:w="50" w:type="dxa"/>
              <w:left w:w="80" w:type="dxa"/>
              <w:right w:w="80" w:type="dxa"/>
            </w:tcMar>
          </w:tcPr>
          <w:p>
            <w:r>
              <w:t>Python 3.12.4 + Gunicorn 22.0.0 WSGI</w:t>
            </w:r>
          </w:p>
        </w:tc>
      </w:tr>
      <w:tr>
        <w:tc>
          <w:tcPr>
            <w:tcW w:type="dxa" w:w="3120"/>
            <w:shd w:fill="FFFFFF"/>
            <w:tcMar>
              <w:top w:w="50" w:type="dxa"/>
              <w:bottom w:w="50" w:type="dxa"/>
              <w:left w:w="80" w:type="dxa"/>
              <w:right w:w="80" w:type="dxa"/>
            </w:tcMar>
          </w:tcPr>
          <w:p>
            <w:r>
              <w:t>Database Engine</w:t>
            </w:r>
          </w:p>
        </w:tc>
        <w:tc>
          <w:tcPr>
            <w:tcW w:type="dxa" w:w="3120"/>
            <w:shd w:fill="FFFFFF"/>
            <w:tcMar>
              <w:top w:w="50" w:type="dxa"/>
              <w:bottom w:w="50" w:type="dxa"/>
              <w:left w:w="80" w:type="dxa"/>
              <w:right w:w="80" w:type="dxa"/>
            </w:tcMar>
          </w:tcPr>
          <w:p>
            <w:r>
              <w:t>SQLite 3 (File-based)</w:t>
            </w:r>
          </w:p>
        </w:tc>
        <w:tc>
          <w:tcPr>
            <w:tcW w:type="dxa" w:w="3120"/>
            <w:shd w:fill="FFFFFF"/>
            <w:tcMar>
              <w:top w:w="50" w:type="dxa"/>
              <w:bottom w:w="50" w:type="dxa"/>
              <w:left w:w="80" w:type="dxa"/>
              <w:right w:w="80" w:type="dxa"/>
            </w:tcMar>
          </w:tcPr>
          <w:p>
            <w:r>
              <w:t>PostgreSQL 16 / Managed SQLite</w:t>
            </w:r>
          </w:p>
        </w:tc>
      </w:tr>
      <w:tr>
        <w:tc>
          <w:tcPr>
            <w:tcW w:type="dxa" w:w="3120"/>
            <w:shd w:fill="EFF3F1"/>
            <w:tcMar>
              <w:top w:w="50" w:type="dxa"/>
              <w:bottom w:w="50" w:type="dxa"/>
              <w:left w:w="80" w:type="dxa"/>
              <w:right w:w="80" w:type="dxa"/>
            </w:tcMar>
          </w:tcPr>
          <w:p>
            <w:r>
              <w:t>Frontend Engine</w:t>
            </w:r>
          </w:p>
        </w:tc>
        <w:tc>
          <w:tcPr>
            <w:tcW w:type="dxa" w:w="3120"/>
            <w:shd w:fill="EFF3F1"/>
            <w:tcMar>
              <w:top w:w="50" w:type="dxa"/>
              <w:bottom w:w="50" w:type="dxa"/>
              <w:left w:w="80" w:type="dxa"/>
              <w:right w:w="80" w:type="dxa"/>
            </w:tcMar>
          </w:tcPr>
          <w:p>
            <w:r>
              <w:t>Vanilla HTML5, CSS3, ES6+ JavaScript</w:t>
            </w:r>
          </w:p>
        </w:tc>
        <w:tc>
          <w:tcPr>
            <w:tcW w:type="dxa" w:w="3120"/>
            <w:shd w:fill="EFF3F1"/>
            <w:tcMar>
              <w:top w:w="50" w:type="dxa"/>
              <w:bottom w:w="50" w:type="dxa"/>
              <w:left w:w="80" w:type="dxa"/>
              <w:right w:w="80" w:type="dxa"/>
            </w:tcMar>
          </w:tcPr>
          <w:p>
            <w:r>
              <w:t>Zero-build SPA served directly by Flask</w:t>
            </w:r>
          </w:p>
        </w:tc>
      </w:tr>
      <w:tr>
        <w:tc>
          <w:tcPr>
            <w:tcW w:type="dxa" w:w="3120"/>
            <w:shd w:fill="FFFFFF"/>
            <w:tcMar>
              <w:top w:w="50" w:type="dxa"/>
              <w:bottom w:w="50" w:type="dxa"/>
              <w:left w:w="80" w:type="dxa"/>
              <w:right w:w="80" w:type="dxa"/>
            </w:tcMar>
          </w:tcPr>
          <w:p>
            <w:r>
              <w:t>Cloud Platform</w:t>
            </w:r>
          </w:p>
        </w:tc>
        <w:tc>
          <w:tcPr>
            <w:tcW w:type="dxa" w:w="3120"/>
            <w:shd w:fill="FFFFFF"/>
            <w:tcMar>
              <w:top w:w="50" w:type="dxa"/>
              <w:bottom w:w="50" w:type="dxa"/>
              <w:left w:w="80" w:type="dxa"/>
              <w:right w:w="80" w:type="dxa"/>
            </w:tcMar>
          </w:tcPr>
          <w:p>
            <w:r>
              <w:t>Localhost (0.0.0.0:5000)</w:t>
            </w:r>
          </w:p>
        </w:tc>
        <w:tc>
          <w:tcPr>
            <w:tcW w:type="dxa" w:w="3120"/>
            <w:shd w:fill="FFFFFF"/>
            <w:tcMar>
              <w:top w:w="50" w:type="dxa"/>
              <w:bottom w:w="50" w:type="dxa"/>
              <w:left w:w="80" w:type="dxa"/>
              <w:right w:w="80" w:type="dxa"/>
            </w:tcMar>
          </w:tcPr>
          <w:p>
            <w:r>
              <w:t>Render Cloud PaaS (render.com) with HTTPS</w:t>
            </w:r>
          </w:p>
        </w:tc>
      </w:tr>
    </w:tbl>
    <w:p>
      <w:pPr>
        <w:keepNext/>
        <w:spacing w:before="240" w:after="120"/>
        <w:jc w:val="left"/>
      </w:pPr>
      <w:r>
        <w:rPr>
          <w:rFonts w:ascii="Times New Roman" w:hAnsi="Times New Roman"/>
          <w:b/>
          <w:color w:val="132A31"/>
          <w:sz w:val="26"/>
        </w:rPr>
        <w:t>3.4 System Architectural Block Diagram</w:t>
      </w:r>
    </w:p>
    <w:p>
      <w:pPr>
        <w:spacing w:after="120" w:line="276" w:lineRule="auto"/>
        <w:jc w:val="both"/>
      </w:pPr>
      <w:r>
        <w:rPr>
          <w:rFonts w:ascii="Times New Roman" w:hAnsi="Times New Roman"/>
          <w:b w:val="0"/>
          <w:i w:val="0"/>
          <w:color w:val="132A31"/>
          <w:sz w:val="24"/>
        </w:rPr>
        <w:t>MedKnow is architectured using a modern 3-Tier Decoupled Client-Server Paradigm:</w:t>
      </w:r>
    </w:p>
    <w:p>
      <w:pPr>
        <w:spacing w:after="120" w:line="276" w:lineRule="auto"/>
        <w:jc w:val="both"/>
      </w:pPr>
      <w:r>
        <w:rPr>
          <w:rFonts w:ascii="Times New Roman" w:hAnsi="Times New Roman"/>
          <w:b w:val="0"/>
          <w:i w:val="0"/>
          <w:color w:val="132A31"/>
          <w:sz w:val="24"/>
        </w:rPr>
        <w:t>1. Presentation Tier (Client SPA): Lightweight Vanilla JavaScript client executing in any browser. Handles DOM rendering, calculator arithmetic, client-side filtering, and token persistence.</w:t>
      </w:r>
    </w:p>
    <w:p>
      <w:pPr>
        <w:spacing w:after="120" w:line="276" w:lineRule="auto"/>
        <w:jc w:val="both"/>
      </w:pPr>
      <w:r>
        <w:rPr>
          <w:rFonts w:ascii="Times New Roman" w:hAnsi="Times New Roman"/>
          <w:b w:val="0"/>
          <w:i w:val="0"/>
          <w:color w:val="132A31"/>
          <w:sz w:val="24"/>
        </w:rPr>
        <w:t>2. Application Logic Tier (REST API): Flask web framework backed by Gunicorn WSGI workers. Manages authentication, authorization decorators, search filtering, and audit logging.</w:t>
      </w:r>
    </w:p>
    <w:p>
      <w:pPr>
        <w:spacing w:after="120" w:line="276" w:lineRule="auto"/>
        <w:jc w:val="both"/>
      </w:pPr>
      <w:r>
        <w:rPr>
          <w:rFonts w:ascii="Times New Roman" w:hAnsi="Times New Roman"/>
          <w:b w:val="0"/>
          <w:i w:val="0"/>
          <w:color w:val="132A31"/>
          <w:sz w:val="24"/>
        </w:rPr>
        <w:t>3. Data Tier (Relational ORM): SQLAlchemy ORM managing 11 relational models with automated foreign key constraints, cascading deletions, and transactional consistency.</w:t>
      </w:r>
    </w:p>
    <w:p>
      <w:r>
        <w:br w:type="page"/>
      </w:r>
    </w:p>
    <w:p>
      <w:pPr>
        <w:keepNext/>
        <w:spacing w:before="320" w:after="160"/>
        <w:jc w:val="left"/>
      </w:pPr>
      <w:r>
        <w:rPr>
          <w:rFonts w:ascii="Times New Roman" w:hAnsi="Times New Roman"/>
          <w:b/>
          <w:color w:val="1F6F78"/>
          <w:sz w:val="28"/>
        </w:rPr>
        <w:t>CHAPTER 4: METHODOLOGY &amp; SYSTEM DESIGN</w:t>
      </w:r>
    </w:p>
    <w:p>
      <w:pPr>
        <w:keepNext/>
        <w:spacing w:before="240" w:after="120"/>
        <w:jc w:val="left"/>
      </w:pPr>
      <w:r>
        <w:rPr>
          <w:rFonts w:ascii="Times New Roman" w:hAnsi="Times New Roman"/>
          <w:b/>
          <w:color w:val="132A31"/>
          <w:sz w:val="26"/>
        </w:rPr>
        <w:t>4.1 The Seven-Stage Clinical KM Lifecycle Model</w:t>
      </w:r>
    </w:p>
    <w:p>
      <w:pPr>
        <w:spacing w:after="120" w:line="276" w:lineRule="auto"/>
        <w:jc w:val="both"/>
      </w:pPr>
      <w:r>
        <w:rPr>
          <w:rFonts w:ascii="Times New Roman" w:hAnsi="Times New Roman"/>
          <w:b w:val="0"/>
          <w:i w:val="0"/>
          <w:color w:val="132A31"/>
          <w:sz w:val="24"/>
        </w:rPr>
        <w:t>The core methodological foundation of MedKnow is the operationalization of the 7-stage Clinical Knowledge Management Lifecycle:</w:t>
      </w:r>
    </w:p>
    <w:p>
      <w:pPr>
        <w:spacing w:after="120" w:line="276" w:lineRule="auto"/>
        <w:jc w:val="both"/>
      </w:pPr>
      <w:r>
        <w:rPr>
          <w:rFonts w:ascii="Times New Roman" w:hAnsi="Times New Roman"/>
          <w:b w:val="0"/>
          <w:i w:val="0"/>
          <w:color w:val="132A31"/>
          <w:sz w:val="24"/>
        </w:rPr>
        <w:t>1. Stage 1 — Capture: Clinicians record evidence-based guidelines, protocols, and case studies using the rich markdown editor with live preview.</w:t>
      </w:r>
    </w:p>
    <w:p>
      <w:pPr>
        <w:spacing w:after="120" w:line="276" w:lineRule="auto"/>
        <w:jc w:val="both"/>
      </w:pPr>
      <w:r>
        <w:rPr>
          <w:rFonts w:ascii="Times New Roman" w:hAnsi="Times New Roman"/>
          <w:b w:val="0"/>
          <w:i w:val="0"/>
          <w:color w:val="132A31"/>
          <w:sz w:val="24"/>
        </w:rPr>
        <w:t>2. Stage 2 — Storage: Assets are committed to relational tables with author metadata, timestamps, department tags, and read-time calculations.</w:t>
      </w:r>
    </w:p>
    <w:p>
      <w:pPr>
        <w:spacing w:after="120" w:line="276" w:lineRule="auto"/>
        <w:jc w:val="both"/>
      </w:pPr>
      <w:r>
        <w:rPr>
          <w:rFonts w:ascii="Times New Roman" w:hAnsi="Times New Roman"/>
          <w:b w:val="0"/>
          <w:i w:val="0"/>
          <w:color w:val="132A31"/>
          <w:sz w:val="24"/>
        </w:rPr>
        <w:t>3. Stage 3 — Organization: Knowledge is classified into clinical categories (Emergency, Critical Care, Drug Safety) with evidence hierarchy badges (Level I to IV).</w:t>
      </w:r>
    </w:p>
    <w:p>
      <w:pPr>
        <w:spacing w:after="120" w:line="276" w:lineRule="auto"/>
        <w:jc w:val="both"/>
      </w:pPr>
      <w:r>
        <w:rPr>
          <w:rFonts w:ascii="Times New Roman" w:hAnsi="Times New Roman"/>
          <w:b w:val="0"/>
          <w:i w:val="0"/>
          <w:color w:val="132A31"/>
          <w:sz w:val="24"/>
        </w:rPr>
        <w:t>4. Stage 4 — Validation: Multi-tier peer review. Clinicians rate articles (1–5 stars), leave comments, and administrators flag gold standard 'Best Practices'.</w:t>
      </w:r>
    </w:p>
    <w:p>
      <w:pPr>
        <w:spacing w:after="120" w:line="276" w:lineRule="auto"/>
        <w:jc w:val="both"/>
      </w:pPr>
      <w:r>
        <w:rPr>
          <w:rFonts w:ascii="Times New Roman" w:hAnsi="Times New Roman"/>
          <w:b w:val="0"/>
          <w:i w:val="0"/>
          <w:color w:val="132A31"/>
          <w:sz w:val="24"/>
        </w:rPr>
        <w:t>5. Stage 5 — Dissemination: High-yield protocols are broadcasted via the hospital alert banner and searchable through multi-parameter queries.</w:t>
      </w:r>
    </w:p>
    <w:p>
      <w:pPr>
        <w:spacing w:after="120" w:line="276" w:lineRule="auto"/>
        <w:jc w:val="both"/>
      </w:pPr>
      <w:r>
        <w:rPr>
          <w:rFonts w:ascii="Times New Roman" w:hAnsi="Times New Roman"/>
          <w:b w:val="0"/>
          <w:i w:val="0"/>
          <w:color w:val="132A31"/>
          <w:sz w:val="24"/>
        </w:rPr>
        <w:t>6. Stage 6 — Systematic Reuse: Ward clinicians bookmark frequently used protocols for instant bedside reference and print formatted protocol sheets.</w:t>
      </w:r>
    </w:p>
    <w:p>
      <w:pPr>
        <w:spacing w:after="120" w:line="276" w:lineRule="auto"/>
        <w:jc w:val="both"/>
      </w:pPr>
      <w:r>
        <w:rPr>
          <w:rFonts w:ascii="Times New Roman" w:hAnsi="Times New Roman"/>
          <w:b w:val="0"/>
          <w:i w:val="0"/>
          <w:color w:val="132A31"/>
          <w:sz w:val="24"/>
        </w:rPr>
        <w:t>7. Stage 7 — Governance &amp; Retirement: Every revision triggers an immutable ArticleVersion snapshot. Obsolete protocols are archived, preserving full auditability.</w:t>
      </w:r>
    </w:p>
    <w:p>
      <w:pPr>
        <w:keepNext/>
        <w:spacing w:before="240" w:after="120"/>
        <w:jc w:val="left"/>
      </w:pPr>
      <w:r>
        <w:rPr>
          <w:rFonts w:ascii="Times New Roman" w:hAnsi="Times New Roman"/>
          <w:b/>
          <w:color w:val="132A31"/>
          <w:sz w:val="26"/>
        </w:rPr>
        <w:t>4.2 Role-Based Access Control (RBAC) Governance</w:t>
      </w:r>
    </w:p>
    <w:p>
      <w:pPr>
        <w:spacing w:after="120" w:line="276" w:lineRule="auto"/>
        <w:jc w:val="both"/>
      </w:pPr>
      <w:r>
        <w:rPr>
          <w:rFonts w:ascii="Times New Roman" w:hAnsi="Times New Roman"/>
          <w:b w:val="0"/>
          <w:i w:val="0"/>
          <w:color w:val="132A31"/>
          <w:sz w:val="24"/>
        </w:rPr>
        <w:t>MedKnow enforces a strict multi-tier permissions hierarchy:</w:t>
      </w:r>
    </w:p>
    <w:p>
      <w:pPr>
        <w:spacing w:after="120" w:line="276" w:lineRule="auto"/>
        <w:jc w:val="both"/>
      </w:pPr>
      <w:r>
        <w:rPr>
          <w:rFonts w:ascii="Times New Roman" w:hAnsi="Times New Roman"/>
          <w:b/>
          <w:i w:val="0"/>
          <w:color w:val="132A31"/>
          <w:sz w:val="22"/>
        </w:rPr>
        <w:t>Table 4.1: Role-Based Access Control (RBAC) Privilege Matrix</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5E5E5"/>
          <w:insideV w:val="none"/>
          <w:left w:val="none"/>
          <w:right w:val="none"/>
        </w:tblBorders>
      </w:tblPr>
      <w:tblGrid>
        <w:gridCol w:w="2340"/>
        <w:gridCol w:w="2340"/>
        <w:gridCol w:w="2340"/>
        <w:gridCol w:w="2340"/>
      </w:tblGrid>
      <w:tr>
        <w:tc>
          <w:tcPr>
            <w:tcW w:type="dxa" w:w="2340"/>
            <w:shd w:fill="1F6F78"/>
            <w:tcMar>
              <w:top w:w="60" w:type="dxa"/>
              <w:bottom w:w="60" w:type="dxa"/>
              <w:left w:w="80" w:type="dxa"/>
              <w:right w:w="80" w:type="dxa"/>
            </w:tcMar>
          </w:tcPr>
          <w:p>
            <w:pPr>
              <w:jc w:val="center"/>
            </w:pPr>
            <w:r>
              <w:rPr>
                <w:b/>
                <w:color w:val="FFFFFF"/>
              </w:rPr>
              <w:t>Platform Action / Capability</w:t>
            </w:r>
          </w:p>
        </w:tc>
        <w:tc>
          <w:tcPr>
            <w:tcW w:type="dxa" w:w="2340"/>
            <w:shd w:fill="1F6F78"/>
            <w:tcMar>
              <w:top w:w="60" w:type="dxa"/>
              <w:bottom w:w="60" w:type="dxa"/>
              <w:left w:w="80" w:type="dxa"/>
              <w:right w:w="80" w:type="dxa"/>
            </w:tcMar>
          </w:tcPr>
          <w:p>
            <w:pPr>
              <w:jc w:val="center"/>
            </w:pPr>
            <w:r>
              <w:rPr>
                <w:b/>
                <w:color w:val="FFFFFF"/>
              </w:rPr>
              <w:t>Viewer (Nurse / Staff)</w:t>
            </w:r>
          </w:p>
        </w:tc>
        <w:tc>
          <w:tcPr>
            <w:tcW w:type="dxa" w:w="2340"/>
            <w:shd w:fill="1F6F78"/>
            <w:tcMar>
              <w:top w:w="60" w:type="dxa"/>
              <w:bottom w:w="60" w:type="dxa"/>
              <w:left w:w="80" w:type="dxa"/>
              <w:right w:w="80" w:type="dxa"/>
            </w:tcMar>
          </w:tcPr>
          <w:p>
            <w:pPr>
              <w:jc w:val="center"/>
            </w:pPr>
            <w:r>
              <w:rPr>
                <w:b/>
                <w:color w:val="FFFFFF"/>
              </w:rPr>
              <w:t>Contributor (Physician)</w:t>
            </w:r>
          </w:p>
        </w:tc>
        <w:tc>
          <w:tcPr>
            <w:tcW w:type="dxa" w:w="2340"/>
            <w:shd w:fill="1F6F78"/>
            <w:tcMar>
              <w:top w:w="60" w:type="dxa"/>
              <w:bottom w:w="60" w:type="dxa"/>
              <w:left w:w="80" w:type="dxa"/>
              <w:right w:w="80" w:type="dxa"/>
            </w:tcMar>
          </w:tcPr>
          <w:p>
            <w:pPr>
              <w:jc w:val="center"/>
            </w:pPr>
            <w:r>
              <w:rPr>
                <w:b/>
                <w:color w:val="FFFFFF"/>
              </w:rPr>
              <w:t>Super Admin (CMO)</w:t>
            </w:r>
          </w:p>
        </w:tc>
      </w:tr>
      <w:tr>
        <w:tc>
          <w:tcPr>
            <w:tcW w:type="dxa" w:w="2340"/>
            <w:shd w:fill="FFFFFF"/>
            <w:tcMar>
              <w:top w:w="50" w:type="dxa"/>
              <w:bottom w:w="50" w:type="dxa"/>
              <w:left w:w="80" w:type="dxa"/>
              <w:right w:w="80" w:type="dxa"/>
            </w:tcMar>
          </w:tcPr>
          <w:p>
            <w:r>
              <w:t>Browse, Search &amp; Read Protocols</w:t>
            </w:r>
          </w:p>
        </w:tc>
        <w:tc>
          <w:tcPr>
            <w:tcW w:type="dxa" w:w="2340"/>
            <w:shd w:fill="FFFFFF"/>
            <w:tcMar>
              <w:top w:w="50" w:type="dxa"/>
              <w:bottom w:w="50" w:type="dxa"/>
              <w:left w:w="80" w:type="dxa"/>
              <w:right w:w="80" w:type="dxa"/>
            </w:tcMar>
          </w:tcPr>
          <w:p>
            <w:pPr>
              <w:jc w:val="center"/>
            </w:pPr>
            <w:r>
              <w:rPr>
                <w:b/>
                <w:color w:val="1F6F78"/>
              </w:rPr>
              <w:t>YES</w:t>
            </w:r>
          </w:p>
        </w:tc>
        <w:tc>
          <w:tcPr>
            <w:tcW w:type="dxa" w:w="2340"/>
            <w:shd w:fill="FFFFFF"/>
            <w:tcMar>
              <w:top w:w="50" w:type="dxa"/>
              <w:bottom w:w="50" w:type="dxa"/>
              <w:left w:w="80" w:type="dxa"/>
              <w:right w:w="80" w:type="dxa"/>
            </w:tcMar>
          </w:tcPr>
          <w:p>
            <w:pPr>
              <w:jc w:val="center"/>
            </w:pPr>
            <w:r>
              <w:rPr>
                <w:b/>
                <w:color w:val="1F6F78"/>
              </w:rPr>
              <w:t>YES</w:t>
            </w:r>
          </w:p>
        </w:tc>
        <w:tc>
          <w:tcPr>
            <w:tcW w:type="dxa" w:w="2340"/>
            <w:shd w:fill="FFFFFF"/>
            <w:tcMar>
              <w:top w:w="50" w:type="dxa"/>
              <w:bottom w:w="50" w:type="dxa"/>
              <w:left w:w="80" w:type="dxa"/>
              <w:right w:w="80" w:type="dxa"/>
            </w:tcMar>
          </w:tcPr>
          <w:p>
            <w:pPr>
              <w:jc w:val="center"/>
            </w:pPr>
            <w:r>
              <w:rPr>
                <w:b/>
                <w:color w:val="1F6F78"/>
              </w:rPr>
              <w:t>YES</w:t>
            </w:r>
          </w:p>
        </w:tc>
      </w:tr>
      <w:tr>
        <w:tc>
          <w:tcPr>
            <w:tcW w:type="dxa" w:w="2340"/>
            <w:shd w:fill="EFF3F1"/>
            <w:tcMar>
              <w:top w:w="50" w:type="dxa"/>
              <w:bottom w:w="50" w:type="dxa"/>
              <w:left w:w="80" w:type="dxa"/>
              <w:right w:w="80" w:type="dxa"/>
            </w:tcMar>
          </w:tcPr>
          <w:p>
            <w:r>
              <w:t>Execute Clinical Decision Calculators</w:t>
            </w:r>
          </w:p>
        </w:tc>
        <w:tc>
          <w:tcPr>
            <w:tcW w:type="dxa" w:w="2340"/>
            <w:shd w:fill="EFF3F1"/>
            <w:tcMar>
              <w:top w:w="50" w:type="dxa"/>
              <w:bottom w:w="50" w:type="dxa"/>
              <w:left w:w="80" w:type="dxa"/>
              <w:right w:w="80" w:type="dxa"/>
            </w:tcMar>
          </w:tcPr>
          <w:p>
            <w:pPr>
              <w:jc w:val="center"/>
            </w:pPr>
            <w:r>
              <w:rPr>
                <w:b/>
                <w:color w:val="1F6F78"/>
              </w:rPr>
              <w:t>YES</w:t>
            </w:r>
          </w:p>
        </w:tc>
        <w:tc>
          <w:tcPr>
            <w:tcW w:type="dxa" w:w="2340"/>
            <w:shd w:fill="EFF3F1"/>
            <w:tcMar>
              <w:top w:w="50" w:type="dxa"/>
              <w:bottom w:w="50" w:type="dxa"/>
              <w:left w:w="80" w:type="dxa"/>
              <w:right w:w="80" w:type="dxa"/>
            </w:tcMar>
          </w:tcPr>
          <w:p>
            <w:pPr>
              <w:jc w:val="center"/>
            </w:pPr>
            <w:r>
              <w:rPr>
                <w:b/>
                <w:color w:val="1F6F78"/>
              </w:rPr>
              <w:t>YES</w:t>
            </w:r>
          </w:p>
        </w:tc>
        <w:tc>
          <w:tcPr>
            <w:tcW w:type="dxa" w:w="2340"/>
            <w:shd w:fill="EFF3F1"/>
            <w:tcMar>
              <w:top w:w="50" w:type="dxa"/>
              <w:bottom w:w="50" w:type="dxa"/>
              <w:left w:w="80" w:type="dxa"/>
              <w:right w:w="80" w:type="dxa"/>
            </w:tcMar>
          </w:tcPr>
          <w:p>
            <w:pPr>
              <w:jc w:val="center"/>
            </w:pPr>
            <w:r>
              <w:rPr>
                <w:b/>
                <w:color w:val="1F6F78"/>
              </w:rPr>
              <w:t>YES</w:t>
            </w:r>
          </w:p>
        </w:tc>
      </w:tr>
      <w:tr>
        <w:tc>
          <w:tcPr>
            <w:tcW w:type="dxa" w:w="2340"/>
            <w:shd w:fill="FFFFFF"/>
            <w:tcMar>
              <w:top w:w="50" w:type="dxa"/>
              <w:bottom w:w="50" w:type="dxa"/>
              <w:left w:w="80" w:type="dxa"/>
              <w:right w:w="80" w:type="dxa"/>
            </w:tcMar>
          </w:tcPr>
          <w:p>
            <w:r>
              <w:t>Submit Ratings &amp; Clinical Comments</w:t>
            </w:r>
          </w:p>
        </w:tc>
        <w:tc>
          <w:tcPr>
            <w:tcW w:type="dxa" w:w="2340"/>
            <w:shd w:fill="FFFFFF"/>
            <w:tcMar>
              <w:top w:w="50" w:type="dxa"/>
              <w:bottom w:w="50" w:type="dxa"/>
              <w:left w:w="80" w:type="dxa"/>
              <w:right w:w="80" w:type="dxa"/>
            </w:tcMar>
          </w:tcPr>
          <w:p>
            <w:pPr>
              <w:jc w:val="center"/>
            </w:pPr>
            <w:r>
              <w:rPr>
                <w:b/>
                <w:color w:val="1F6F78"/>
              </w:rPr>
              <w:t>YES</w:t>
            </w:r>
          </w:p>
        </w:tc>
        <w:tc>
          <w:tcPr>
            <w:tcW w:type="dxa" w:w="2340"/>
            <w:shd w:fill="FFFFFF"/>
            <w:tcMar>
              <w:top w:w="50" w:type="dxa"/>
              <w:bottom w:w="50" w:type="dxa"/>
              <w:left w:w="80" w:type="dxa"/>
              <w:right w:w="80" w:type="dxa"/>
            </w:tcMar>
          </w:tcPr>
          <w:p>
            <w:pPr>
              <w:jc w:val="center"/>
            </w:pPr>
            <w:r>
              <w:rPr>
                <w:b/>
                <w:color w:val="1F6F78"/>
              </w:rPr>
              <w:t>YES</w:t>
            </w:r>
          </w:p>
        </w:tc>
        <w:tc>
          <w:tcPr>
            <w:tcW w:type="dxa" w:w="2340"/>
            <w:shd w:fill="FFFFFF"/>
            <w:tcMar>
              <w:top w:w="50" w:type="dxa"/>
              <w:bottom w:w="50" w:type="dxa"/>
              <w:left w:w="80" w:type="dxa"/>
              <w:right w:w="80" w:type="dxa"/>
            </w:tcMar>
          </w:tcPr>
          <w:p>
            <w:pPr>
              <w:jc w:val="center"/>
            </w:pPr>
            <w:r>
              <w:rPr>
                <w:b/>
                <w:color w:val="1F6F78"/>
              </w:rPr>
              <w:t>YES</w:t>
            </w:r>
          </w:p>
        </w:tc>
      </w:tr>
      <w:tr>
        <w:tc>
          <w:tcPr>
            <w:tcW w:type="dxa" w:w="2340"/>
            <w:shd w:fill="EFF3F1"/>
            <w:tcMar>
              <w:top w:w="50" w:type="dxa"/>
              <w:bottom w:w="50" w:type="dxa"/>
              <w:left w:w="80" w:type="dxa"/>
              <w:right w:w="80" w:type="dxa"/>
            </w:tcMar>
          </w:tcPr>
          <w:p>
            <w:r>
              <w:t>Pin Ward Bookmarks &amp; Print Protocols</w:t>
            </w:r>
          </w:p>
        </w:tc>
        <w:tc>
          <w:tcPr>
            <w:tcW w:type="dxa" w:w="2340"/>
            <w:shd w:fill="EFF3F1"/>
            <w:tcMar>
              <w:top w:w="50" w:type="dxa"/>
              <w:bottom w:w="50" w:type="dxa"/>
              <w:left w:w="80" w:type="dxa"/>
              <w:right w:w="80" w:type="dxa"/>
            </w:tcMar>
          </w:tcPr>
          <w:p>
            <w:pPr>
              <w:jc w:val="center"/>
            </w:pPr>
            <w:r>
              <w:rPr>
                <w:b/>
                <w:color w:val="1F6F78"/>
              </w:rPr>
              <w:t>YES</w:t>
            </w:r>
          </w:p>
        </w:tc>
        <w:tc>
          <w:tcPr>
            <w:tcW w:type="dxa" w:w="2340"/>
            <w:shd w:fill="EFF3F1"/>
            <w:tcMar>
              <w:top w:w="50" w:type="dxa"/>
              <w:bottom w:w="50" w:type="dxa"/>
              <w:left w:w="80" w:type="dxa"/>
              <w:right w:w="80" w:type="dxa"/>
            </w:tcMar>
          </w:tcPr>
          <w:p>
            <w:pPr>
              <w:jc w:val="center"/>
            </w:pPr>
            <w:r>
              <w:rPr>
                <w:b/>
                <w:color w:val="1F6F78"/>
              </w:rPr>
              <w:t>YES</w:t>
            </w:r>
          </w:p>
        </w:tc>
        <w:tc>
          <w:tcPr>
            <w:tcW w:type="dxa" w:w="2340"/>
            <w:shd w:fill="EFF3F1"/>
            <w:tcMar>
              <w:top w:w="50" w:type="dxa"/>
              <w:bottom w:w="50" w:type="dxa"/>
              <w:left w:w="80" w:type="dxa"/>
              <w:right w:w="80" w:type="dxa"/>
            </w:tcMar>
          </w:tcPr>
          <w:p>
            <w:pPr>
              <w:jc w:val="center"/>
            </w:pPr>
            <w:r>
              <w:rPr>
                <w:b/>
                <w:color w:val="1F6F78"/>
              </w:rPr>
              <w:t>YES</w:t>
            </w:r>
          </w:p>
        </w:tc>
      </w:tr>
      <w:tr>
        <w:tc>
          <w:tcPr>
            <w:tcW w:type="dxa" w:w="2340"/>
            <w:shd w:fill="FFFFFF"/>
            <w:tcMar>
              <w:top w:w="50" w:type="dxa"/>
              <w:bottom w:w="50" w:type="dxa"/>
              <w:left w:w="80" w:type="dxa"/>
              <w:right w:w="80" w:type="dxa"/>
            </w:tcMar>
          </w:tcPr>
          <w:p>
            <w:r>
              <w:t>Submit Knowledge Gap Requests</w:t>
            </w:r>
          </w:p>
        </w:tc>
        <w:tc>
          <w:tcPr>
            <w:tcW w:type="dxa" w:w="2340"/>
            <w:shd w:fill="FFFFFF"/>
            <w:tcMar>
              <w:top w:w="50" w:type="dxa"/>
              <w:bottom w:w="50" w:type="dxa"/>
              <w:left w:w="80" w:type="dxa"/>
              <w:right w:w="80" w:type="dxa"/>
            </w:tcMar>
          </w:tcPr>
          <w:p>
            <w:pPr>
              <w:jc w:val="center"/>
            </w:pPr>
            <w:r>
              <w:rPr>
                <w:b/>
                <w:color w:val="1F6F78"/>
              </w:rPr>
              <w:t>YES</w:t>
            </w:r>
          </w:p>
        </w:tc>
        <w:tc>
          <w:tcPr>
            <w:tcW w:type="dxa" w:w="2340"/>
            <w:shd w:fill="FFFFFF"/>
            <w:tcMar>
              <w:top w:w="50" w:type="dxa"/>
              <w:bottom w:w="50" w:type="dxa"/>
              <w:left w:w="80" w:type="dxa"/>
              <w:right w:w="80" w:type="dxa"/>
            </w:tcMar>
          </w:tcPr>
          <w:p>
            <w:pPr>
              <w:jc w:val="center"/>
            </w:pPr>
            <w:r>
              <w:rPr>
                <w:b/>
                <w:color w:val="1F6F78"/>
              </w:rPr>
              <w:t>YES</w:t>
            </w:r>
          </w:p>
        </w:tc>
        <w:tc>
          <w:tcPr>
            <w:tcW w:type="dxa" w:w="2340"/>
            <w:shd w:fill="FFFFFF"/>
            <w:tcMar>
              <w:top w:w="50" w:type="dxa"/>
              <w:bottom w:w="50" w:type="dxa"/>
              <w:left w:w="80" w:type="dxa"/>
              <w:right w:w="80" w:type="dxa"/>
            </w:tcMar>
          </w:tcPr>
          <w:p>
            <w:pPr>
              <w:jc w:val="center"/>
            </w:pPr>
            <w:r>
              <w:rPr>
                <w:b/>
                <w:color w:val="1F6F78"/>
              </w:rPr>
              <w:t>YES</w:t>
            </w:r>
          </w:p>
        </w:tc>
      </w:tr>
      <w:tr>
        <w:tc>
          <w:tcPr>
            <w:tcW w:type="dxa" w:w="2340"/>
            <w:shd w:fill="EFF3F1"/>
            <w:tcMar>
              <w:top w:w="50" w:type="dxa"/>
              <w:bottom w:w="50" w:type="dxa"/>
              <w:left w:w="80" w:type="dxa"/>
              <w:right w:w="80" w:type="dxa"/>
            </w:tcMar>
          </w:tcPr>
          <w:p>
            <w:r>
              <w:t>Author &amp; Edit Own Clinical Protocols</w:t>
            </w:r>
          </w:p>
        </w:tc>
        <w:tc>
          <w:tcPr>
            <w:tcW w:type="dxa" w:w="2340"/>
            <w:shd w:fill="EFF3F1"/>
            <w:tcMar>
              <w:top w:w="50" w:type="dxa"/>
              <w:bottom w:w="50" w:type="dxa"/>
              <w:left w:w="80" w:type="dxa"/>
              <w:right w:w="80" w:type="dxa"/>
            </w:tcMar>
          </w:tcPr>
          <w:p>
            <w:pPr>
              <w:jc w:val="center"/>
            </w:pPr>
            <w:r>
              <w:rPr>
                <w:b w:val="0"/>
              </w:rPr>
              <w:t>NO</w:t>
            </w:r>
          </w:p>
        </w:tc>
        <w:tc>
          <w:tcPr>
            <w:tcW w:type="dxa" w:w="2340"/>
            <w:shd w:fill="EFF3F1"/>
            <w:tcMar>
              <w:top w:w="50" w:type="dxa"/>
              <w:bottom w:w="50" w:type="dxa"/>
              <w:left w:w="80" w:type="dxa"/>
              <w:right w:w="80" w:type="dxa"/>
            </w:tcMar>
          </w:tcPr>
          <w:p>
            <w:pPr>
              <w:jc w:val="center"/>
            </w:pPr>
            <w:r>
              <w:rPr>
                <w:b/>
                <w:color w:val="1F6F78"/>
              </w:rPr>
              <w:t>YES</w:t>
            </w:r>
          </w:p>
        </w:tc>
        <w:tc>
          <w:tcPr>
            <w:tcW w:type="dxa" w:w="2340"/>
            <w:shd w:fill="EFF3F1"/>
            <w:tcMar>
              <w:top w:w="50" w:type="dxa"/>
              <w:bottom w:w="50" w:type="dxa"/>
              <w:left w:w="80" w:type="dxa"/>
              <w:right w:w="80" w:type="dxa"/>
            </w:tcMar>
          </w:tcPr>
          <w:p>
            <w:pPr>
              <w:jc w:val="center"/>
            </w:pPr>
            <w:r>
              <w:rPr>
                <w:b/>
                <w:color w:val="1F6F78"/>
              </w:rPr>
              <w:t>YES</w:t>
            </w:r>
          </w:p>
        </w:tc>
      </w:tr>
      <w:tr>
        <w:tc>
          <w:tcPr>
            <w:tcW w:type="dxa" w:w="2340"/>
            <w:shd w:fill="FFFFFF"/>
            <w:tcMar>
              <w:top w:w="50" w:type="dxa"/>
              <w:bottom w:w="50" w:type="dxa"/>
              <w:left w:w="80" w:type="dxa"/>
              <w:right w:w="80" w:type="dxa"/>
            </w:tcMar>
          </w:tcPr>
          <w:p>
            <w:r>
              <w:t>Submit Drafts for Peer Review</w:t>
            </w:r>
          </w:p>
        </w:tc>
        <w:tc>
          <w:tcPr>
            <w:tcW w:type="dxa" w:w="2340"/>
            <w:shd w:fill="FFFFFF"/>
            <w:tcMar>
              <w:top w:w="50" w:type="dxa"/>
              <w:bottom w:w="50" w:type="dxa"/>
              <w:left w:w="80" w:type="dxa"/>
              <w:right w:w="80" w:type="dxa"/>
            </w:tcMar>
          </w:tcPr>
          <w:p>
            <w:pPr>
              <w:jc w:val="center"/>
            </w:pPr>
            <w:r>
              <w:rPr>
                <w:b w:val="0"/>
              </w:rPr>
              <w:t>NO</w:t>
            </w:r>
          </w:p>
        </w:tc>
        <w:tc>
          <w:tcPr>
            <w:tcW w:type="dxa" w:w="2340"/>
            <w:shd w:fill="FFFFFF"/>
            <w:tcMar>
              <w:top w:w="50" w:type="dxa"/>
              <w:bottom w:w="50" w:type="dxa"/>
              <w:left w:w="80" w:type="dxa"/>
              <w:right w:w="80" w:type="dxa"/>
            </w:tcMar>
          </w:tcPr>
          <w:p>
            <w:pPr>
              <w:jc w:val="center"/>
            </w:pPr>
            <w:r>
              <w:rPr>
                <w:b/>
                <w:color w:val="1F6F78"/>
              </w:rPr>
              <w:t>YES</w:t>
            </w:r>
          </w:p>
        </w:tc>
        <w:tc>
          <w:tcPr>
            <w:tcW w:type="dxa" w:w="2340"/>
            <w:shd w:fill="FFFFFF"/>
            <w:tcMar>
              <w:top w:w="50" w:type="dxa"/>
              <w:bottom w:w="50" w:type="dxa"/>
              <w:left w:w="80" w:type="dxa"/>
              <w:right w:w="80" w:type="dxa"/>
            </w:tcMar>
          </w:tcPr>
          <w:p>
            <w:pPr>
              <w:jc w:val="center"/>
            </w:pPr>
            <w:r>
              <w:rPr>
                <w:b/>
                <w:color w:val="1F6F78"/>
              </w:rPr>
              <w:t>YES</w:t>
            </w:r>
          </w:p>
        </w:tc>
      </w:tr>
      <w:tr>
        <w:tc>
          <w:tcPr>
            <w:tcW w:type="dxa" w:w="2340"/>
            <w:shd w:fill="EFF3F1"/>
            <w:tcMar>
              <w:top w:w="50" w:type="dxa"/>
              <w:bottom w:w="50" w:type="dxa"/>
              <w:left w:w="80" w:type="dxa"/>
              <w:right w:w="80" w:type="dxa"/>
            </w:tcMar>
          </w:tcPr>
          <w:p>
            <w:r>
              <w:t>Approve / Archive in Review Queue</w:t>
            </w:r>
          </w:p>
        </w:tc>
        <w:tc>
          <w:tcPr>
            <w:tcW w:type="dxa" w:w="2340"/>
            <w:shd w:fill="EFF3F1"/>
            <w:tcMar>
              <w:top w:w="50" w:type="dxa"/>
              <w:bottom w:w="50" w:type="dxa"/>
              <w:left w:w="80" w:type="dxa"/>
              <w:right w:w="80" w:type="dxa"/>
            </w:tcMar>
          </w:tcPr>
          <w:p>
            <w:pPr>
              <w:jc w:val="center"/>
            </w:pPr>
            <w:r>
              <w:rPr>
                <w:b w:val="0"/>
              </w:rPr>
              <w:t>NO</w:t>
            </w:r>
          </w:p>
        </w:tc>
        <w:tc>
          <w:tcPr>
            <w:tcW w:type="dxa" w:w="2340"/>
            <w:shd w:fill="EFF3F1"/>
            <w:tcMar>
              <w:top w:w="50" w:type="dxa"/>
              <w:bottom w:w="50" w:type="dxa"/>
              <w:left w:w="80" w:type="dxa"/>
              <w:right w:w="80" w:type="dxa"/>
            </w:tcMar>
          </w:tcPr>
          <w:p>
            <w:pPr>
              <w:jc w:val="center"/>
            </w:pPr>
            <w:r>
              <w:rPr>
                <w:b/>
                <w:color w:val="1F6F78"/>
              </w:rPr>
              <w:t>YES</w:t>
            </w:r>
          </w:p>
        </w:tc>
        <w:tc>
          <w:tcPr>
            <w:tcW w:type="dxa" w:w="2340"/>
            <w:shd w:fill="EFF3F1"/>
            <w:tcMar>
              <w:top w:w="50" w:type="dxa"/>
              <w:bottom w:w="50" w:type="dxa"/>
              <w:left w:w="80" w:type="dxa"/>
              <w:right w:w="80" w:type="dxa"/>
            </w:tcMar>
          </w:tcPr>
          <w:p>
            <w:pPr>
              <w:jc w:val="center"/>
            </w:pPr>
            <w:r>
              <w:rPr>
                <w:b/>
                <w:color w:val="1F6F78"/>
              </w:rPr>
              <w:t>YES</w:t>
            </w:r>
          </w:p>
        </w:tc>
      </w:tr>
      <w:tr>
        <w:tc>
          <w:tcPr>
            <w:tcW w:type="dxa" w:w="2340"/>
            <w:shd w:fill="FFFFFF"/>
            <w:tcMar>
              <w:top w:w="50" w:type="dxa"/>
              <w:bottom w:w="50" w:type="dxa"/>
              <w:left w:w="80" w:type="dxa"/>
              <w:right w:w="80" w:type="dxa"/>
            </w:tcMar>
          </w:tcPr>
          <w:p>
            <w:r>
              <w:t>Manage Users, Categories &amp; Advisories</w:t>
            </w:r>
          </w:p>
        </w:tc>
        <w:tc>
          <w:tcPr>
            <w:tcW w:type="dxa" w:w="2340"/>
            <w:shd w:fill="FFFFFF"/>
            <w:tcMar>
              <w:top w:w="50" w:type="dxa"/>
              <w:bottom w:w="50" w:type="dxa"/>
              <w:left w:w="80" w:type="dxa"/>
              <w:right w:w="80" w:type="dxa"/>
            </w:tcMar>
          </w:tcPr>
          <w:p>
            <w:pPr>
              <w:jc w:val="center"/>
            </w:pPr>
            <w:r>
              <w:rPr>
                <w:b w:val="0"/>
              </w:rPr>
              <w:t>NO</w:t>
            </w:r>
          </w:p>
        </w:tc>
        <w:tc>
          <w:tcPr>
            <w:tcW w:type="dxa" w:w="2340"/>
            <w:shd w:fill="FFFFFF"/>
            <w:tcMar>
              <w:top w:w="50" w:type="dxa"/>
              <w:bottom w:w="50" w:type="dxa"/>
              <w:left w:w="80" w:type="dxa"/>
              <w:right w:w="80" w:type="dxa"/>
            </w:tcMar>
          </w:tcPr>
          <w:p>
            <w:pPr>
              <w:jc w:val="center"/>
            </w:pPr>
            <w:r>
              <w:rPr>
                <w:b w:val="0"/>
              </w:rPr>
              <w:t>NO</w:t>
            </w:r>
          </w:p>
        </w:tc>
        <w:tc>
          <w:tcPr>
            <w:tcW w:type="dxa" w:w="2340"/>
            <w:shd w:fill="FFFFFF"/>
            <w:tcMar>
              <w:top w:w="50" w:type="dxa"/>
              <w:bottom w:w="50" w:type="dxa"/>
              <w:left w:w="80" w:type="dxa"/>
              <w:right w:w="80" w:type="dxa"/>
            </w:tcMar>
          </w:tcPr>
          <w:p>
            <w:pPr>
              <w:jc w:val="center"/>
            </w:pPr>
            <w:r>
              <w:rPr>
                <w:b/>
                <w:color w:val="1F6F78"/>
              </w:rPr>
              <w:t>YES</w:t>
            </w:r>
          </w:p>
        </w:tc>
      </w:tr>
    </w:tbl>
    <w:p>
      <w:pPr>
        <w:keepNext/>
        <w:spacing w:before="240" w:after="120"/>
        <w:jc w:val="left"/>
      </w:pPr>
      <w:r>
        <w:rPr>
          <w:rFonts w:ascii="Times New Roman" w:hAnsi="Times New Roman"/>
          <w:b/>
          <w:color w:val="132A31"/>
          <w:sz w:val="26"/>
        </w:rPr>
        <w:t>4.3 Database Architecture &amp; Entity-Relationship Schema</w:t>
      </w:r>
    </w:p>
    <w:p>
      <w:pPr>
        <w:spacing w:after="120" w:line="276" w:lineRule="auto"/>
        <w:jc w:val="both"/>
      </w:pPr>
      <w:r>
        <w:rPr>
          <w:rFonts w:ascii="Times New Roman" w:hAnsi="Times New Roman"/>
          <w:b w:val="0"/>
          <w:i w:val="0"/>
          <w:color w:val="132A31"/>
          <w:sz w:val="24"/>
        </w:rPr>
        <w:t>The database schema comprises 11 interconnected relational tables:</w:t>
      </w:r>
    </w:p>
    <w:p>
      <w:pPr>
        <w:spacing w:after="120" w:line="276" w:lineRule="auto"/>
        <w:jc w:val="both"/>
      </w:pPr>
      <w:r>
        <w:rPr>
          <w:rFonts w:ascii="Times New Roman" w:hAnsi="Times New Roman"/>
          <w:b w:val="0"/>
          <w:i w:val="0"/>
          <w:color w:val="132A31"/>
          <w:sz w:val="24"/>
        </w:rPr>
        <w:t>1. Users: Stores staff credentials, role, department, clinical title, avatar color, and active status.</w:t>
      </w:r>
    </w:p>
    <w:p>
      <w:pPr>
        <w:spacing w:after="120" w:line="276" w:lineRule="auto"/>
        <w:jc w:val="both"/>
      </w:pPr>
      <w:r>
        <w:rPr>
          <w:rFonts w:ascii="Times New Roman" w:hAnsi="Times New Roman"/>
          <w:b w:val="0"/>
          <w:i w:val="0"/>
          <w:color w:val="132A31"/>
          <w:sz w:val="24"/>
        </w:rPr>
        <w:t>2. Categories: Organizes protocols into specialties with distinct slug, description, color, and icon.</w:t>
      </w:r>
    </w:p>
    <w:p>
      <w:pPr>
        <w:spacing w:after="120" w:line="276" w:lineRule="auto"/>
        <w:jc w:val="both"/>
      </w:pPr>
      <w:r>
        <w:rPr>
          <w:rFonts w:ascii="Times New Roman" w:hAnsi="Times New Roman"/>
          <w:b w:val="0"/>
          <w:i w:val="0"/>
          <w:color w:val="132A31"/>
          <w:sz w:val="24"/>
        </w:rPr>
        <w:t>3. Articles: Primary knowledge entity containing markdown content, summary, tags, evidence level, target audience, read time, urgency, and review notes.</w:t>
      </w:r>
    </w:p>
    <w:p>
      <w:pPr>
        <w:spacing w:after="120" w:line="276" w:lineRule="auto"/>
        <w:jc w:val="both"/>
      </w:pPr>
      <w:r>
        <w:rPr>
          <w:rFonts w:ascii="Times New Roman" w:hAnsi="Times New Roman"/>
          <w:b w:val="0"/>
          <w:i w:val="0"/>
          <w:color w:val="132A31"/>
          <w:sz w:val="24"/>
        </w:rPr>
        <w:t>4. ArticleVersions: Immutable historical snapshots recording previous titles, contents, change notes, editor IDs, and timestamps.</w:t>
      </w:r>
    </w:p>
    <w:p>
      <w:pPr>
        <w:spacing w:after="120" w:line="276" w:lineRule="auto"/>
        <w:jc w:val="both"/>
      </w:pPr>
      <w:r>
        <w:rPr>
          <w:rFonts w:ascii="Times New Roman" w:hAnsi="Times New Roman"/>
          <w:b w:val="0"/>
          <w:i w:val="0"/>
          <w:color w:val="132A31"/>
          <w:sz w:val="24"/>
        </w:rPr>
        <w:t>5. Bookmarks: Junction table linking users to pinned favorite articles for shift triage.</w:t>
      </w:r>
    </w:p>
    <w:p>
      <w:pPr>
        <w:spacing w:after="120" w:line="276" w:lineRule="auto"/>
        <w:jc w:val="both"/>
      </w:pPr>
      <w:r>
        <w:rPr>
          <w:rFonts w:ascii="Times New Roman" w:hAnsi="Times New Roman"/>
          <w:b w:val="0"/>
          <w:i w:val="0"/>
          <w:color w:val="132A31"/>
          <w:sz w:val="24"/>
        </w:rPr>
        <w:t>6. KnowledgeRequests: Tracks requested clinical guidelines, urgency, requester ID, assigned specialist ID, and fulfillment status.</w:t>
      </w:r>
    </w:p>
    <w:p>
      <w:pPr>
        <w:spacing w:after="120" w:line="276" w:lineRule="auto"/>
        <w:jc w:val="both"/>
      </w:pPr>
      <w:r>
        <w:rPr>
          <w:rFonts w:ascii="Times New Roman" w:hAnsi="Times New Roman"/>
          <w:b w:val="0"/>
          <w:i w:val="0"/>
          <w:color w:val="132A31"/>
          <w:sz w:val="24"/>
        </w:rPr>
        <w:t>7. RequestUpvotes: Enforces unique upvoting per staff member on knowledge requests.</w:t>
      </w:r>
    </w:p>
    <w:p>
      <w:pPr>
        <w:spacing w:after="120" w:line="276" w:lineRule="auto"/>
        <w:jc w:val="both"/>
      </w:pPr>
      <w:r>
        <w:rPr>
          <w:rFonts w:ascii="Times New Roman" w:hAnsi="Times New Roman"/>
          <w:b w:val="0"/>
          <w:i w:val="0"/>
          <w:color w:val="132A31"/>
          <w:sz w:val="24"/>
        </w:rPr>
        <w:t>8. ClinicalAdvisories: Stores urgent broadcast alerts with criticality levels and activation flags.</w:t>
      </w:r>
    </w:p>
    <w:p>
      <w:pPr>
        <w:spacing w:after="120" w:line="276" w:lineRule="auto"/>
        <w:jc w:val="both"/>
      </w:pPr>
      <w:r>
        <w:rPr>
          <w:rFonts w:ascii="Times New Roman" w:hAnsi="Times New Roman"/>
          <w:b w:val="0"/>
          <w:i w:val="0"/>
          <w:color w:val="132A31"/>
          <w:sz w:val="24"/>
        </w:rPr>
        <w:t>9. ClinicalQuestions &amp; ClinicalAnswers: Implements consult threads with verified consensus flags.</w:t>
      </w:r>
    </w:p>
    <w:p>
      <w:pPr>
        <w:spacing w:after="120" w:line="276" w:lineRule="auto"/>
        <w:jc w:val="both"/>
      </w:pPr>
      <w:r>
        <w:rPr>
          <w:rFonts w:ascii="Times New Roman" w:hAnsi="Times New Roman"/>
          <w:b w:val="0"/>
          <w:i w:val="0"/>
          <w:color w:val="132A31"/>
          <w:sz w:val="24"/>
        </w:rPr>
        <w:t>10. Comments &amp; Ratings: Facilitates peer validation with 1–5 star upsert constraints.</w:t>
      </w:r>
    </w:p>
    <w:p>
      <w:pPr>
        <w:spacing w:after="120" w:line="276" w:lineRule="auto"/>
        <w:jc w:val="both"/>
      </w:pPr>
      <w:r>
        <w:rPr>
          <w:rFonts w:ascii="Times New Roman" w:hAnsi="Times New Roman"/>
          <w:b w:val="0"/>
          <w:i w:val="0"/>
          <w:color w:val="132A31"/>
          <w:sz w:val="24"/>
        </w:rPr>
        <w:t>11. AuditLogs: System-wide chronological record of administrative and clinical events.</w:t>
      </w:r>
    </w:p>
    <w:p>
      <w:r>
        <w:br w:type="page"/>
      </w:r>
    </w:p>
    <w:p>
      <w:pPr>
        <w:keepNext/>
        <w:spacing w:before="320" w:after="160"/>
        <w:jc w:val="left"/>
      </w:pPr>
      <w:r>
        <w:rPr>
          <w:rFonts w:ascii="Times New Roman" w:hAnsi="Times New Roman"/>
          <w:b/>
          <w:color w:val="1F6F78"/>
          <w:sz w:val="28"/>
        </w:rPr>
        <w:t>CHAPTER 5: CLINICAL DECISION SUPPORT &amp; MATHEMATICAL FORMULATIONS</w:t>
      </w:r>
    </w:p>
    <w:p>
      <w:pPr>
        <w:keepNext/>
        <w:spacing w:before="240" w:after="120"/>
        <w:jc w:val="left"/>
      </w:pPr>
      <w:r>
        <w:rPr>
          <w:rFonts w:ascii="Times New Roman" w:hAnsi="Times New Roman"/>
          <w:b/>
          <w:color w:val="132A31"/>
          <w:sz w:val="26"/>
        </w:rPr>
        <w:t>5.1 Quick SOFA (qSOFA) Sepsis Scoring &amp; Resuscitation Bundle</w:t>
      </w:r>
    </w:p>
    <w:p>
      <w:pPr>
        <w:spacing w:after="120" w:line="276" w:lineRule="auto"/>
        <w:jc w:val="both"/>
      </w:pPr>
      <w:r>
        <w:rPr>
          <w:rFonts w:ascii="Times New Roman" w:hAnsi="Times New Roman"/>
          <w:b w:val="0"/>
          <w:i w:val="0"/>
          <w:color w:val="132A31"/>
          <w:sz w:val="24"/>
        </w:rPr>
        <w:t>The Quick Sequential Organ Failure Assessment (qSOFA) score is an evidence-based clinical risk stratification tool for patients with suspected infection outside the Intensive Care Unit (Seymour et al., JAMA 2016).</w:t>
      </w:r>
    </w:p>
    <w:tbl>
      <w:tblPr>
        <w:tblW w:type="auto" w:w="0"/>
        <w:jc w:val="center"/>
        <w:tblLook w:firstColumn="1" w:firstRow="1" w:lastColumn="0" w:lastRow="0" w:noHBand="0" w:noVBand="1" w:val="04A0"/>
      </w:tblPr>
      <w:tblGrid>
        <w:gridCol w:w="9360"/>
      </w:tblGrid>
      <w:tr>
        <w:tc>
          <w:tcPr>
            <w:tcW w:type="dxa" w:w="9360"/>
            <w:shd w:fill="EFF6F7"/>
            <w:tcMar>
              <w:top w:w="140" w:type="dxa"/>
              <w:bottom w:w="140" w:type="dxa"/>
              <w:left w:w="200" w:type="dxa"/>
              <w:right w:w="200" w:type="dxa"/>
            </w:tcMar>
            <w:tcBorders>
              <w:left w:val="single" w:sz="24" w:space="0" w:color="1F6F78"/>
              <w:top w:val="none"/>
              <w:right w:val="none"/>
              <w:bottom w:val="none"/>
            </w:tcBorders>
          </w:tcPr>
          <w:p>
            <w:pPr>
              <w:spacing w:after="40"/>
            </w:pPr>
            <w:r>
              <w:rPr>
                <w:rFonts w:ascii="Times New Roman" w:hAnsi="Times New Roman"/>
                <w:b/>
                <w:color w:val="1F6F78"/>
                <w:sz w:val="22"/>
              </w:rPr>
              <w:t xml:space="preserve">[CLINICAL ALGORITHM: qSOFA SEPSIS] </w:t>
            </w:r>
            <w:r>
              <w:rPr>
                <w:rFonts w:ascii="Times New Roman" w:hAnsi="Times New Roman"/>
                <w:color w:val="132A31"/>
                <w:sz w:val="22"/>
              </w:rPr>
              <w:t>qSOFA Criteria:</w:t>
              <w:br/>
              <w:t>1. Respiratory Rate &gt;= 22 breaths per minute (+1 point)</w:t>
              <w:br/>
              <w:t>2. Altered Mentation with Glasgow Coma Scale (GCS) &lt; 15 (+1 point)</w:t>
              <w:br/>
              <w:t>3. Systolic Blood Pressure &lt;= 100 mmHg (+1 point)</w:t>
              <w:br/>
              <w:br/>
              <w:t>Interpretation: A qSOFA score &gt;= 2 indicates a 14-fold increase in hospital mortality, mandating immediate blood cultures, serum lactate measurement, broad-spectrum IV antibiotics within 60 minutes, and 30 mL/kg crystalloid fluid resuscitation.</w:t>
            </w:r>
          </w:p>
        </w:tc>
      </w:tr>
    </w:tbl>
    <w:p>
      <w:pPr>
        <w:spacing w:after="80"/>
      </w:pPr>
    </w:p>
    <w:p>
      <w:pPr>
        <w:keepNext/>
        <w:spacing w:before="240" w:after="120"/>
        <w:jc w:val="left"/>
      </w:pPr>
      <w:r>
        <w:rPr>
          <w:rFonts w:ascii="Times New Roman" w:hAnsi="Times New Roman"/>
          <w:b/>
          <w:color w:val="132A31"/>
          <w:sz w:val="26"/>
        </w:rPr>
        <w:t>5.2 Cockcroft-Gault Creatinine Clearance &amp; GFR Formulation</w:t>
      </w:r>
    </w:p>
    <w:p>
      <w:pPr>
        <w:spacing w:after="120" w:line="276" w:lineRule="auto"/>
        <w:jc w:val="both"/>
      </w:pPr>
      <w:r>
        <w:rPr>
          <w:rFonts w:ascii="Times New Roman" w:hAnsi="Times New Roman"/>
          <w:b w:val="0"/>
          <w:i w:val="0"/>
          <w:color w:val="132A31"/>
          <w:sz w:val="24"/>
        </w:rPr>
        <w:t>Estimating renal function is essential for preventing medication toxicity and under-dosing in patients receiving renally eliminated drugs such as Vancomycin, Enoxaparin, Aminoglycosides, and DOACs. The Cockcroft-Gault equation computes Creatinine Clearance (CrCl):</w:t>
      </w:r>
    </w:p>
    <w:p>
      <w:pPr>
        <w:spacing w:after="120" w:line="276" w:lineRule="auto"/>
        <w:jc w:val="both"/>
      </w:pPr>
      <w:r>
        <w:rPr>
          <w:rFonts w:ascii="Times New Roman" w:hAnsi="Times New Roman"/>
          <w:b/>
          <w:i w:val="0"/>
          <w:color w:val="132A31"/>
          <w:sz w:val="24"/>
        </w:rPr>
        <w:t>Mathematical Formulation:</w:t>
      </w:r>
    </w:p>
    <w:p>
      <w:pPr>
        <w:spacing w:after="120" w:line="276" w:lineRule="auto"/>
        <w:jc w:val="center"/>
      </w:pPr>
      <w:r>
        <w:rPr>
          <w:rFonts w:ascii="Times New Roman" w:hAnsi="Times New Roman"/>
          <w:b/>
          <w:i w:val="0"/>
          <w:color w:val="1F6F78"/>
          <w:sz w:val="26"/>
        </w:rPr>
        <w:t>CrCl (Male) = [(140 – Age) × Weight (kg)] / [72 × Serum Creatinine (mg/dL)]</w:t>
      </w:r>
    </w:p>
    <w:p>
      <w:pPr>
        <w:spacing w:after="120" w:line="276" w:lineRule="auto"/>
        <w:jc w:val="center"/>
      </w:pPr>
      <w:r>
        <w:rPr>
          <w:rFonts w:ascii="Times New Roman" w:hAnsi="Times New Roman"/>
          <w:b/>
          <w:i w:val="0"/>
          <w:color w:val="1F6F78"/>
          <w:sz w:val="26"/>
        </w:rPr>
        <w:t>CrCl (Female) = CrCl (Male) × 0.85</w:t>
      </w:r>
    </w:p>
    <w:p>
      <w:pPr>
        <w:spacing w:after="120" w:line="276" w:lineRule="auto"/>
        <w:jc w:val="both"/>
      </w:pPr>
      <w:r>
        <w:rPr>
          <w:rFonts w:ascii="Times New Roman" w:hAnsi="Times New Roman"/>
          <w:b w:val="0"/>
          <w:i w:val="0"/>
          <w:color w:val="132A31"/>
          <w:sz w:val="24"/>
        </w:rPr>
        <w:t>Clinical Staging:</w:t>
      </w:r>
    </w:p>
    <w:p>
      <w:pPr>
        <w:spacing w:after="120" w:line="276" w:lineRule="auto"/>
        <w:jc w:val="both"/>
      </w:pPr>
      <w:r>
        <w:rPr>
          <w:rFonts w:ascii="Times New Roman" w:hAnsi="Times New Roman"/>
          <w:b w:val="0"/>
          <w:i w:val="0"/>
          <w:color w:val="132A31"/>
          <w:sz w:val="24"/>
        </w:rPr>
        <w:t>• CrCl &gt;= 90 mL/min: Normal Renal Function (Stage 1)</w:t>
      </w:r>
    </w:p>
    <w:p>
      <w:pPr>
        <w:spacing w:after="120" w:line="276" w:lineRule="auto"/>
        <w:jc w:val="both"/>
      </w:pPr>
      <w:r>
        <w:rPr>
          <w:rFonts w:ascii="Times New Roman" w:hAnsi="Times New Roman"/>
          <w:b w:val="0"/>
          <w:i w:val="0"/>
          <w:color w:val="132A31"/>
          <w:sz w:val="24"/>
        </w:rPr>
        <w:t>• CrCl 60–89 mL/min: Mild Renal Impairment (Stage 2)</w:t>
      </w:r>
    </w:p>
    <w:p>
      <w:pPr>
        <w:spacing w:after="120" w:line="276" w:lineRule="auto"/>
        <w:jc w:val="both"/>
      </w:pPr>
      <w:r>
        <w:rPr>
          <w:rFonts w:ascii="Times New Roman" w:hAnsi="Times New Roman"/>
          <w:b w:val="0"/>
          <w:i w:val="0"/>
          <w:color w:val="132A31"/>
          <w:sz w:val="24"/>
        </w:rPr>
        <w:t>• CrCl 30–59 mL/min: Moderate Impairment (Stage 3 – Mandatory Dose Reduction)</w:t>
      </w:r>
    </w:p>
    <w:p>
      <w:pPr>
        <w:spacing w:after="120" w:line="276" w:lineRule="auto"/>
        <w:jc w:val="both"/>
      </w:pPr>
      <w:r>
        <w:rPr>
          <w:rFonts w:ascii="Times New Roman" w:hAnsi="Times New Roman"/>
          <w:b w:val="0"/>
          <w:i w:val="0"/>
          <w:color w:val="132A31"/>
          <w:sz w:val="24"/>
        </w:rPr>
        <w:t>• CrCl 15–29 mL/min: Severe Impairment (Stage 4 – Therapeutic Drug Monitoring)</w:t>
      </w:r>
    </w:p>
    <w:p>
      <w:pPr>
        <w:spacing w:after="120" w:line="276" w:lineRule="auto"/>
        <w:jc w:val="both"/>
      </w:pPr>
      <w:r>
        <w:rPr>
          <w:rFonts w:ascii="Times New Roman" w:hAnsi="Times New Roman"/>
          <w:b w:val="0"/>
          <w:i w:val="0"/>
          <w:color w:val="132A31"/>
          <w:sz w:val="24"/>
        </w:rPr>
        <w:t>• CrCl &lt; 15 mL/min: End-Stage Renal Disease (Stage 5 – Dialysis Dosing)</w:t>
      </w:r>
    </w:p>
    <w:p>
      <w:pPr>
        <w:keepNext/>
        <w:spacing w:before="240" w:after="120"/>
        <w:jc w:val="left"/>
      </w:pPr>
      <w:r>
        <w:rPr>
          <w:rFonts w:ascii="Times New Roman" w:hAnsi="Times New Roman"/>
          <w:b/>
          <w:color w:val="132A31"/>
          <w:sz w:val="26"/>
        </w:rPr>
        <w:t>5.3 Body Mass Index (BMI) &amp; Devine Ideal Body Weight Formula</w:t>
      </w:r>
    </w:p>
    <w:p>
      <w:pPr>
        <w:spacing w:after="120" w:line="276" w:lineRule="auto"/>
        <w:jc w:val="both"/>
      </w:pPr>
      <w:r>
        <w:rPr>
          <w:rFonts w:ascii="Times New Roman" w:hAnsi="Times New Roman"/>
          <w:b w:val="0"/>
          <w:i w:val="0"/>
          <w:color w:val="132A31"/>
          <w:sz w:val="24"/>
        </w:rPr>
        <w:t>Body Mass Index evaluates nutritional categorization, while Ideal Body Weight (IBW) calculated via the Devine formula is the required standard for hydrophilic drug distribution volumes.</w:t>
      </w:r>
    </w:p>
    <w:p>
      <w:pPr>
        <w:spacing w:after="120" w:line="276" w:lineRule="auto"/>
        <w:jc w:val="center"/>
      </w:pPr>
      <w:r>
        <w:rPr>
          <w:rFonts w:ascii="Times New Roman" w:hAnsi="Times New Roman"/>
          <w:b/>
          <w:i w:val="0"/>
          <w:color w:val="1F6F78"/>
          <w:sz w:val="26"/>
        </w:rPr>
        <w:t>BMI (kg/m²) = Weight (kg) / [Height (m)]²</w:t>
      </w:r>
    </w:p>
    <w:p>
      <w:pPr>
        <w:spacing w:after="120" w:line="276" w:lineRule="auto"/>
        <w:jc w:val="center"/>
      </w:pPr>
      <w:r>
        <w:rPr>
          <w:rFonts w:ascii="Times New Roman" w:hAnsi="Times New Roman"/>
          <w:b/>
          <w:i w:val="0"/>
          <w:color w:val="132A31"/>
          <w:sz w:val="24"/>
        </w:rPr>
        <w:t>IBW (Male) = 50.0 kg + 2.3 kg × (Height in inches – 60)</w:t>
      </w:r>
    </w:p>
    <w:p>
      <w:pPr>
        <w:spacing w:after="120" w:line="276" w:lineRule="auto"/>
        <w:jc w:val="center"/>
      </w:pPr>
      <w:r>
        <w:rPr>
          <w:rFonts w:ascii="Times New Roman" w:hAnsi="Times New Roman"/>
          <w:b/>
          <w:i w:val="0"/>
          <w:color w:val="132A31"/>
          <w:sz w:val="24"/>
        </w:rPr>
        <w:t>IBW (Female) = 45.5 kg + 2.3 kg × (Height in inches – 60)</w:t>
      </w:r>
    </w:p>
    <w:p>
      <w:pPr>
        <w:keepNext/>
        <w:spacing w:before="240" w:after="120"/>
        <w:jc w:val="left"/>
      </w:pPr>
      <w:r>
        <w:rPr>
          <w:rFonts w:ascii="Times New Roman" w:hAnsi="Times New Roman"/>
          <w:b/>
          <w:color w:val="132A31"/>
          <w:sz w:val="26"/>
        </w:rPr>
        <w:t>5.4 IV Infusion Flow Rate &amp; Gravity Drip Formulation</w:t>
      </w:r>
    </w:p>
    <w:p>
      <w:pPr>
        <w:spacing w:after="120" w:line="276" w:lineRule="auto"/>
        <w:jc w:val="both"/>
      </w:pPr>
      <w:r>
        <w:rPr>
          <w:rFonts w:ascii="Times New Roman" w:hAnsi="Times New Roman"/>
          <w:b w:val="0"/>
          <w:i w:val="0"/>
          <w:color w:val="132A31"/>
          <w:sz w:val="24"/>
        </w:rPr>
        <w:t>To eliminate manual titration errors across electronic volumetric pumps and gravity roller-clamp infusion tubing:</w:t>
      </w:r>
    </w:p>
    <w:p>
      <w:pPr>
        <w:spacing w:after="120" w:line="276" w:lineRule="auto"/>
        <w:jc w:val="center"/>
      </w:pPr>
      <w:r>
        <w:rPr>
          <w:rFonts w:ascii="Times New Roman" w:hAnsi="Times New Roman"/>
          <w:b/>
          <w:i w:val="0"/>
          <w:color w:val="1F6F78"/>
          <w:sz w:val="24"/>
        </w:rPr>
        <w:t>Electronic Pump Rate (mL/hr) = Total Volume (mL) / Infusion Time (hours)</w:t>
      </w:r>
    </w:p>
    <w:p>
      <w:pPr>
        <w:spacing w:after="120" w:line="276" w:lineRule="auto"/>
        <w:jc w:val="center"/>
      </w:pPr>
      <w:r>
        <w:rPr>
          <w:rFonts w:ascii="Times New Roman" w:hAnsi="Times New Roman"/>
          <w:b/>
          <w:i w:val="0"/>
          <w:color w:val="1F6F78"/>
          <w:sz w:val="24"/>
        </w:rPr>
        <w:t>Gravity Drip Rate (gtt/min) = [Total Volume (mL) × Drop Factor (gtt/mL)] / [Time (hours) × 60 min]</w:t>
      </w:r>
    </w:p>
    <w:p>
      <w:pPr>
        <w:keepNext/>
        <w:spacing w:before="240" w:after="120"/>
        <w:jc w:val="left"/>
      </w:pPr>
      <w:r>
        <w:rPr>
          <w:rFonts w:ascii="Times New Roman" w:hAnsi="Times New Roman"/>
          <w:b/>
          <w:color w:val="132A31"/>
          <w:sz w:val="26"/>
        </w:rPr>
        <w:t>5.5 Neonatal APGAR Vital Signs Assessment Formulation</w:t>
      </w:r>
    </w:p>
    <w:p>
      <w:pPr>
        <w:spacing w:after="120" w:line="276" w:lineRule="auto"/>
        <w:jc w:val="both"/>
      </w:pPr>
      <w:r>
        <w:rPr>
          <w:rFonts w:ascii="Times New Roman" w:hAnsi="Times New Roman"/>
          <w:b w:val="0"/>
          <w:i w:val="0"/>
          <w:color w:val="132A31"/>
          <w:sz w:val="24"/>
        </w:rPr>
        <w:t>The APGAR score standardizes immediate physical assessment of newborns at 1 and 5 minutes post-delivery across five physiological signs scored 0, 1, or 2:</w:t>
      </w:r>
    </w:p>
    <w:p>
      <w:pPr>
        <w:spacing w:after="120" w:line="276" w:lineRule="auto"/>
        <w:jc w:val="both"/>
      </w:pPr>
      <w:r>
        <w:rPr>
          <w:rFonts w:ascii="Times New Roman" w:hAnsi="Times New Roman"/>
          <w:b w:val="0"/>
          <w:i w:val="0"/>
          <w:color w:val="132A31"/>
          <w:sz w:val="24"/>
        </w:rPr>
        <w:t>• Appearance (Color), Pulse (Heart Rate), Grimace (Reflex), Activity (Tone), Respiration.</w:t>
      </w:r>
    </w:p>
    <w:p>
      <w:pPr>
        <w:spacing w:after="120" w:line="276" w:lineRule="auto"/>
        <w:jc w:val="both"/>
      </w:pPr>
      <w:r>
        <w:rPr>
          <w:rFonts w:ascii="Times New Roman" w:hAnsi="Times New Roman"/>
          <w:b w:val="0"/>
          <w:i w:val="0"/>
          <w:color w:val="132A31"/>
          <w:sz w:val="24"/>
        </w:rPr>
        <w:t>• Score 7–10: Normal physiological transition; Score 4–6: Moderate depression requiring stimulation/O₂; Score 0–3: Severe depression requiring immediate positive-pressure ventilation and chest compressions.</w:t>
      </w:r>
    </w:p>
    <w:p>
      <w:r>
        <w:br w:type="page"/>
      </w:r>
    </w:p>
    <w:p>
      <w:pPr>
        <w:keepNext/>
        <w:spacing w:before="320" w:after="160"/>
        <w:jc w:val="left"/>
      </w:pPr>
      <w:r>
        <w:rPr>
          <w:rFonts w:ascii="Times New Roman" w:hAnsi="Times New Roman"/>
          <w:b/>
          <w:color w:val="1F6F78"/>
          <w:sz w:val="28"/>
        </w:rPr>
        <w:t>CHAPTER 6: IMPLEMENTATION &amp; SOURCE CODE ARCHITECTURE</w:t>
      </w:r>
    </w:p>
    <w:p>
      <w:pPr>
        <w:keepNext/>
        <w:spacing w:before="240" w:after="120"/>
        <w:jc w:val="left"/>
      </w:pPr>
      <w:r>
        <w:rPr>
          <w:rFonts w:ascii="Times New Roman" w:hAnsi="Times New Roman"/>
          <w:b/>
          <w:color w:val="132A31"/>
          <w:sz w:val="26"/>
        </w:rPr>
        <w:t>6.1 Backend RESTful API &amp; Security Middleware</w:t>
      </w:r>
    </w:p>
    <w:p>
      <w:pPr>
        <w:spacing w:after="120" w:line="276" w:lineRule="auto"/>
        <w:jc w:val="both"/>
      </w:pPr>
      <w:r>
        <w:rPr>
          <w:rFonts w:ascii="Times New Roman" w:hAnsi="Times New Roman"/>
          <w:b w:val="0"/>
          <w:i w:val="0"/>
          <w:color w:val="132A31"/>
          <w:sz w:val="24"/>
        </w:rPr>
        <w:t>The backend architecture is implemented in Python 3.12 utilizing Flask. Below is the core implementation of the authentication decorators, first-user administrator auto-promotion, and healthcheck telemetry:</w:t>
      </w:r>
    </w:p>
    <w:tbl>
      <w:tblPr>
        <w:tblW w:type="auto" w:w="0"/>
        <w:jc w:val="center"/>
        <w:tblLook w:firstColumn="1" w:firstRow="1" w:lastColumn="0" w:lastRow="0" w:noHBand="0" w:noVBand="1" w:val="04A0"/>
      </w:tblPr>
      <w:tblGrid>
        <w:gridCol w:w="9360"/>
      </w:tblGrid>
      <w:tr>
        <w:tc>
          <w:tcPr>
            <w:tcW w:type="dxa" w:w="9360"/>
            <w:shd w:fill="EFF6F7"/>
            <w:tcMar>
              <w:top w:w="140" w:type="dxa"/>
              <w:bottom w:w="140" w:type="dxa"/>
              <w:left w:w="200" w:type="dxa"/>
              <w:right w:w="200" w:type="dxa"/>
            </w:tcMar>
            <w:tcBorders>
              <w:left w:val="single" w:sz="24" w:space="0" w:color="1F6F78"/>
              <w:top w:val="none"/>
              <w:right w:val="none"/>
              <w:bottom w:val="none"/>
            </w:tcBorders>
          </w:tcPr>
          <w:p>
            <w:pPr>
              <w:spacing w:after="40"/>
            </w:pPr>
            <w:r>
              <w:rPr>
                <w:rFonts w:ascii="Times New Roman" w:hAnsi="Times New Roman"/>
                <w:b/>
                <w:color w:val="1F6F78"/>
                <w:sz w:val="22"/>
              </w:rPr>
              <w:t xml:space="preserve">[SOURCE CODE: AUTHENTICATION &amp; FIRST-USER PROMOTION] </w:t>
            </w:r>
            <w:r>
              <w:rPr>
                <w:rFonts w:ascii="Times New Roman" w:hAnsi="Times New Roman"/>
                <w:color w:val="132A31"/>
                <w:sz w:val="22"/>
              </w:rPr>
              <w:t># Core Security &amp; Self-Onboarding Logic (app.py)</w:t>
              <w:br/>
              <w:t>@app.route('/api/auth/register', methods=['POST'])</w:t>
              <w:br/>
              <w:t>def register():</w:t>
              <w:br/>
              <w:t xml:space="preserve">    data = request.get_json(force=True, silent=True) or {}</w:t>
              <w:br/>
              <w:t xml:space="preserve">    name = (data.get('name') or '').strip()</w:t>
              <w:br/>
              <w:t xml:space="preserve">    email = (data.get('email') or '').strip().lower()</w:t>
              <w:br/>
              <w:t xml:space="preserve">    password = data.get('password') or ''</w:t>
              <w:br/>
              <w:t xml:space="preserve">    # First registered user is automatically promoted to Super Administrator</w:t>
              <w:br/>
              <w:t xml:space="preserve">    is_first_user = User.query.count() == 0</w:t>
              <w:br/>
              <w:t xml:space="preserve">    role = ROLE_ADMIN if is_first_user else data.get('role', ROLE_VIEWER)</w:t>
              <w:br/>
              <w:t xml:space="preserve">    user = User(name=name, email=email, role=role, department=data.get('department'))</w:t>
              <w:br/>
              <w:t xml:space="preserve">    user.set_password(password)</w:t>
              <w:br/>
              <w:t xml:space="preserve">    db.session.add(user)</w:t>
              <w:br/>
              <w:t xml:space="preserve">    db.session.commit()</w:t>
              <w:br/>
              <w:t xml:space="preserve">    token = generate_token(user)</w:t>
              <w:br/>
              <w:t xml:space="preserve">    return jsonify({'token': token, 'user': user.to_dict(), 'is_admin': is_first_user}), 201</w:t>
            </w:r>
          </w:p>
        </w:tc>
      </w:tr>
    </w:tbl>
    <w:p>
      <w:pPr>
        <w:spacing w:after="80"/>
      </w:pPr>
    </w:p>
    <w:p>
      <w:pPr>
        <w:keepNext/>
        <w:spacing w:before="240" w:after="120"/>
        <w:jc w:val="left"/>
      </w:pPr>
      <w:r>
        <w:rPr>
          <w:rFonts w:ascii="Times New Roman" w:hAnsi="Times New Roman"/>
          <w:b/>
          <w:color w:val="132A31"/>
          <w:sz w:val="26"/>
        </w:rPr>
        <w:t>6.2 Database ORM Models &amp; Audit Log Snapshotting</w:t>
      </w:r>
    </w:p>
    <w:p>
      <w:pPr>
        <w:spacing w:after="120" w:line="276" w:lineRule="auto"/>
        <w:jc w:val="both"/>
      </w:pPr>
      <w:r>
        <w:rPr>
          <w:rFonts w:ascii="Times New Roman" w:hAnsi="Times New Roman"/>
          <w:b w:val="0"/>
          <w:i w:val="0"/>
          <w:color w:val="132A31"/>
          <w:sz w:val="24"/>
        </w:rPr>
        <w:t>The Article and ArticleVersion models operationalize immutable version history and clinical auditability:</w:t>
      </w:r>
    </w:p>
    <w:tbl>
      <w:tblPr>
        <w:tblW w:type="auto" w:w="0"/>
        <w:jc w:val="center"/>
        <w:tblLook w:firstColumn="1" w:firstRow="1" w:lastColumn="0" w:lastRow="0" w:noHBand="0" w:noVBand="1" w:val="04A0"/>
      </w:tblPr>
      <w:tblGrid>
        <w:gridCol w:w="9360"/>
      </w:tblGrid>
      <w:tr>
        <w:tc>
          <w:tcPr>
            <w:tcW w:type="dxa" w:w="9360"/>
            <w:shd w:fill="EFF6F7"/>
            <w:tcMar>
              <w:top w:w="140" w:type="dxa"/>
              <w:bottom w:w="140" w:type="dxa"/>
              <w:left w:w="200" w:type="dxa"/>
              <w:right w:w="200" w:type="dxa"/>
            </w:tcMar>
            <w:tcBorders>
              <w:left w:val="single" w:sz="24" w:space="0" w:color="1F6F78"/>
              <w:top w:val="none"/>
              <w:right w:val="none"/>
              <w:bottom w:val="none"/>
            </w:tcBorders>
          </w:tcPr>
          <w:p>
            <w:pPr>
              <w:spacing w:after="40"/>
            </w:pPr>
            <w:r>
              <w:rPr>
                <w:rFonts w:ascii="Times New Roman" w:hAnsi="Times New Roman"/>
                <w:b/>
                <w:color w:val="1F6F78"/>
                <w:sz w:val="22"/>
              </w:rPr>
              <w:t xml:space="preserve">[SOURCE CODE: DATABASE ENTITIES] </w:t>
            </w:r>
            <w:r>
              <w:rPr>
                <w:rFonts w:ascii="Times New Roman" w:hAnsi="Times New Roman"/>
                <w:color w:val="132A31"/>
                <w:sz w:val="22"/>
              </w:rPr>
              <w:t># Relational Article &amp; Version Snapshot Models (models.py)</w:t>
              <w:br/>
              <w:t>class Article(db.Model):</w:t>
              <w:br/>
              <w:t xml:space="preserve">    __tablename__ = 'articles'</w:t>
              <w:br/>
              <w:t xml:space="preserve">    id = db.Column(db.Integer, primary_key=True)</w:t>
              <w:br/>
              <w:t xml:space="preserve">    title = db.Column(db.String(255), nullable=False)</w:t>
              <w:br/>
              <w:t xml:space="preserve">    content = db.Column(db.Text, nullable=False)</w:t>
              <w:br/>
              <w:t xml:space="preserve">    evidence_level = db.Column(db.String(50), default='Level II')</w:t>
              <w:br/>
              <w:t xml:space="preserve">    urgency_level = db.Column(db.String(50), default='Routine')</w:t>
              <w:br/>
              <w:t xml:space="preserve">    status = db.Column(db.String(20), default=STATUS_PUBLISHED)</w:t>
              <w:br/>
              <w:t xml:space="preserve">    versions = db.relationship('ArticleVersion', backref='article', lazy=True,</w:t>
              <w:br/>
              <w:t xml:space="preserve">                                order_by='ArticleVersion.edited_at.desc()',</w:t>
              <w:br/>
              <w:t xml:space="preserve">                                cascade='all, delete-orphan')</w:t>
              <w:br/>
              <w:br/>
              <w:t>class ArticleVersion(db.Model):</w:t>
              <w:br/>
              <w:t xml:space="preserve">    __tablename__ = 'article_versions'</w:t>
              <w:br/>
              <w:t xml:space="preserve">    id = db.Column(db.Integer, primary_key=True)</w:t>
              <w:br/>
              <w:t xml:space="preserve">    article_id = db.Column(db.Integer, db.ForeignKey('articles.id'), nullable=False)</w:t>
              <w:br/>
              <w:t xml:space="preserve">    title = db.Column(db.String(255), nullable=False)</w:t>
              <w:br/>
              <w:t xml:space="preserve">    content = db.Column(db.Text, nullable=False)</w:t>
              <w:br/>
              <w:t xml:space="preserve">    change_note = db.Column(db.String(255), default='')</w:t>
              <w:br/>
              <w:t xml:space="preserve">    edited_by_id = db.Column(db.Integer, db.ForeignKey('users.id'), nullable=False)</w:t>
              <w:br/>
              <w:t xml:space="preserve">    edited_at = db.Column(db.DateTime, default=datetime.utcnow)</w:t>
            </w:r>
          </w:p>
        </w:tc>
      </w:tr>
    </w:tbl>
    <w:p>
      <w:pPr>
        <w:spacing w:after="80"/>
      </w:pPr>
    </w:p>
    <w:p>
      <w:pPr>
        <w:keepNext/>
        <w:spacing w:before="240" w:after="120"/>
        <w:jc w:val="left"/>
      </w:pPr>
      <w:r>
        <w:rPr>
          <w:rFonts w:ascii="Times New Roman" w:hAnsi="Times New Roman"/>
          <w:b/>
          <w:color w:val="132A31"/>
          <w:sz w:val="26"/>
        </w:rPr>
        <w:t>6.3 Frontend Single Page Application Engine &amp; UI State Management</w:t>
      </w:r>
    </w:p>
    <w:p>
      <w:pPr>
        <w:spacing w:after="120" w:line="276" w:lineRule="auto"/>
        <w:jc w:val="both"/>
      </w:pPr>
      <w:r>
        <w:rPr>
          <w:rFonts w:ascii="Times New Roman" w:hAnsi="Times New Roman"/>
          <w:b w:val="0"/>
          <w:i w:val="0"/>
          <w:color w:val="132A31"/>
          <w:sz w:val="24"/>
        </w:rPr>
        <w:t>The frontend application is constructed with high-performance Vanilla JavaScript, eliminating heavy node_modules dependencies and providing rapid rendering:</w:t>
      </w:r>
    </w:p>
    <w:tbl>
      <w:tblPr>
        <w:tblW w:type="auto" w:w="0"/>
        <w:jc w:val="center"/>
        <w:tblLook w:firstColumn="1" w:firstRow="1" w:lastColumn="0" w:lastRow="0" w:noHBand="0" w:noVBand="1" w:val="04A0"/>
      </w:tblPr>
      <w:tblGrid>
        <w:gridCol w:w="9360"/>
      </w:tblGrid>
      <w:tr>
        <w:tc>
          <w:tcPr>
            <w:tcW w:type="dxa" w:w="9360"/>
            <w:shd w:fill="EFF6F7"/>
            <w:tcMar>
              <w:top w:w="140" w:type="dxa"/>
              <w:bottom w:w="140" w:type="dxa"/>
              <w:left w:w="200" w:type="dxa"/>
              <w:right w:w="200" w:type="dxa"/>
            </w:tcMar>
            <w:tcBorders>
              <w:left w:val="single" w:sz="24" w:space="0" w:color="1F6F78"/>
              <w:top w:val="none"/>
              <w:right w:val="none"/>
              <w:bottom w:val="none"/>
            </w:tcBorders>
          </w:tcPr>
          <w:p>
            <w:pPr>
              <w:spacing w:after="40"/>
            </w:pPr>
            <w:r>
              <w:rPr>
                <w:rFonts w:ascii="Times New Roman" w:hAnsi="Times New Roman"/>
                <w:b/>
                <w:color w:val="1F6F78"/>
                <w:sz w:val="22"/>
              </w:rPr>
              <w:t xml:space="preserve">[SOURCE CODE: CALCULATOR ENGINE] </w:t>
            </w:r>
            <w:r>
              <w:rPr>
                <w:rFonts w:ascii="Times New Roman" w:hAnsi="Times New Roman"/>
                <w:color w:val="132A31"/>
                <w:sz w:val="22"/>
              </w:rPr>
              <w:t>// Medical Calculator Engine &amp; Reactive Evaluation (app.js)</w:t>
              <w:br/>
              <w:t>function calcGfr() {</w:t>
              <w:br/>
              <w:t xml:space="preserve">  const age = parseFloat(document.getElementById('gfr-age').value) || 0;</w:t>
              <w:br/>
              <w:t xml:space="preserve">  const weight = parseFloat(document.getElementById('gfr-weight').value) || 0;</w:t>
              <w:br/>
              <w:t xml:space="preserve">  const scr = parseFloat(document.getElementById('gfr-scr').value) || 0.1;</w:t>
              <w:br/>
              <w:t xml:space="preserve">  const sex = document.getElementById('gfr-sex').value;</w:t>
              <w:br/>
              <w:t xml:space="preserve">  let crcl = ((140 - age) * weight) / (72 * scr);</w:t>
              <w:br/>
              <w:t xml:space="preserve">  if (sex === 'female') crcl *= 0.85;</w:t>
              <w:br/>
              <w:t xml:space="preserve">  crcl = Math.round(crcl * 10) / 10;</w:t>
              <w:br/>
              <w:t xml:space="preserve">  document.getElementById('gfr-val').textContent = `${crcl} mL/min`;</w:t>
              <w:br/>
              <w:t xml:space="preserve">  updateGfrInterpretation(crcl);</w:t>
              <w:br/>
              <w:t>}</w:t>
            </w:r>
          </w:p>
        </w:tc>
      </w:tr>
    </w:tbl>
    <w:p>
      <w:pPr>
        <w:spacing w:after="80"/>
      </w:pPr>
    </w:p>
    <w:p>
      <w:r>
        <w:br w:type="page"/>
      </w:r>
    </w:p>
    <w:p>
      <w:pPr>
        <w:keepNext/>
        <w:spacing w:before="320" w:after="160"/>
        <w:jc w:val="left"/>
      </w:pPr>
      <w:r>
        <w:rPr>
          <w:rFonts w:ascii="Times New Roman" w:hAnsi="Times New Roman"/>
          <w:b/>
          <w:color w:val="1F6F78"/>
          <w:sz w:val="28"/>
        </w:rPr>
        <w:t>CHAPTER 7: SYSTEM RESULTS &amp; SCREENSHOT ANALYSIS</w:t>
      </w:r>
    </w:p>
    <w:p>
      <w:pPr>
        <w:spacing w:after="120" w:line="276" w:lineRule="auto"/>
        <w:jc w:val="both"/>
      </w:pPr>
      <w:r>
        <w:rPr>
          <w:rFonts w:ascii="Times New Roman" w:hAnsi="Times New Roman"/>
          <w:b w:val="0"/>
          <w:i w:val="0"/>
          <w:color w:val="132A31"/>
          <w:sz w:val="24"/>
        </w:rPr>
        <w:t>This section analyzes the deployed MedKnow platform utilizing live screenshots captured from the production environment hosted on Render Cloud (https://medknow-healthcare-portal-6rpp.onrender.com).</w:t>
      </w:r>
    </w:p>
    <w:p>
      <w:pPr>
        <w:keepNext/>
        <w:spacing w:before="240" w:after="120"/>
        <w:jc w:val="left"/>
      </w:pPr>
      <w:r>
        <w:rPr>
          <w:rFonts w:ascii="Times New Roman" w:hAnsi="Times New Roman"/>
          <w:b/>
          <w:color w:val="132A31"/>
          <w:sz w:val="26"/>
        </w:rPr>
        <w:t>7.1 Live Production Deployment &amp; Dashboard Metrics</w:t>
      </w:r>
    </w:p>
    <w:p>
      <w:pPr>
        <w:spacing w:after="120" w:line="276" w:lineRule="auto"/>
        <w:jc w:val="both"/>
      </w:pPr>
      <w:r>
        <w:rPr>
          <w:rFonts w:ascii="Times New Roman" w:hAnsi="Times New Roman"/>
          <w:b w:val="0"/>
          <w:i w:val="0"/>
          <w:color w:val="132A31"/>
          <w:sz w:val="24"/>
        </w:rPr>
        <w:t>Figure 7.1 demonstrates the primary Clinical Dashboard upon clinician login. The dashboard provides executive-level telemetry including published protocols count, peer review queue load, active author contributions, and specialty-wise knowledge distribution.</w:t>
      </w:r>
    </w:p>
    <w:p>
      <w:pPr>
        <w:spacing w:after="120"/>
        <w:jc w:val="center"/>
      </w:pPr>
      <w:r>
        <w:drawing>
          <wp:inline xmlns:a="http://schemas.openxmlformats.org/drawingml/2006/main" xmlns:pic="http://schemas.openxmlformats.org/drawingml/2006/picture">
            <wp:extent cx="5303520" cy="2843391"/>
            <wp:docPr id="2" name="Picture 2"/>
            <wp:cNvGraphicFramePr>
              <a:graphicFrameLocks noChangeAspect="1"/>
            </wp:cNvGraphicFramePr>
            <a:graphic>
              <a:graphicData uri="http://schemas.openxmlformats.org/drawingml/2006/picture">
                <pic:pic>
                  <pic:nvPicPr>
                    <pic:cNvPr id="0" name="media_1787308216185.png"/>
                    <pic:cNvPicPr/>
                  </pic:nvPicPr>
                  <pic:blipFill>
                    <a:blip r:embed="rId12"/>
                    <a:stretch>
                      <a:fillRect/>
                    </a:stretch>
                  </pic:blipFill>
                  <pic:spPr>
                    <a:xfrm>
                      <a:off x="0" y="0"/>
                      <a:ext cx="5303520" cy="2843391"/>
                    </a:xfrm>
                    <a:prstGeom prst="rect"/>
                  </pic:spPr>
                </pic:pic>
              </a:graphicData>
            </a:graphic>
          </wp:inline>
        </w:drawing>
      </w:r>
    </w:p>
    <w:p>
      <w:pPr>
        <w:spacing w:after="280" w:line="276" w:lineRule="auto"/>
        <w:jc w:val="center"/>
      </w:pPr>
      <w:r>
        <w:rPr>
          <w:rFonts w:ascii="Times New Roman" w:hAnsi="Times New Roman"/>
          <w:b w:val="0"/>
          <w:i/>
          <w:color w:val="132A31"/>
          <w:sz w:val="20"/>
        </w:rPr>
        <w:t>Figure 7.1: MedKnow Clinical Dashboard showing live hospital telemetry, evidence breakdown, and specialty distribution on Render Cloud.</w:t>
      </w:r>
    </w:p>
    <w:p>
      <w:pPr>
        <w:keepNext/>
        <w:spacing w:before="240" w:after="120"/>
        <w:jc w:val="left"/>
      </w:pPr>
      <w:r>
        <w:rPr>
          <w:rFonts w:ascii="Times New Roman" w:hAnsi="Times New Roman"/>
          <w:b/>
          <w:color w:val="132A31"/>
          <w:sz w:val="26"/>
        </w:rPr>
        <w:t>7.2 Clinical Protocol Viewer with Alert Callouts &amp; Checklists</w:t>
      </w:r>
    </w:p>
    <w:p>
      <w:pPr>
        <w:spacing w:after="120" w:line="276" w:lineRule="auto"/>
        <w:jc w:val="both"/>
      </w:pPr>
      <w:r>
        <w:rPr>
          <w:rFonts w:ascii="Times New Roman" w:hAnsi="Times New Roman"/>
          <w:b w:val="0"/>
          <w:i w:val="0"/>
          <w:color w:val="132A31"/>
          <w:sz w:val="24"/>
        </w:rPr>
        <w:t>Figure 7.2 depicts the evidence-based Clinical Protocol Reader displaying the 'Acute Sepsis Management Protocol'. Key elements visible include category badges, evidence hierarchy tag (Level II), target audience indicator, citation references, peer star ratings, and clinical discussion threads.</w:t>
      </w:r>
    </w:p>
    <w:p>
      <w:pPr>
        <w:spacing w:after="120"/>
        <w:jc w:val="center"/>
      </w:pPr>
      <w:r>
        <w:drawing>
          <wp:inline xmlns:a="http://schemas.openxmlformats.org/drawingml/2006/main" xmlns:pic="http://schemas.openxmlformats.org/drawingml/2006/picture">
            <wp:extent cx="5303520" cy="2796778"/>
            <wp:docPr id="3" name="Picture 3"/>
            <wp:cNvGraphicFramePr>
              <a:graphicFrameLocks noChangeAspect="1"/>
            </wp:cNvGraphicFramePr>
            <a:graphic>
              <a:graphicData uri="http://schemas.openxmlformats.org/drawingml/2006/picture">
                <pic:pic>
                  <pic:nvPicPr>
                    <pic:cNvPr id="0" name="media_1787308233222.png"/>
                    <pic:cNvPicPr/>
                  </pic:nvPicPr>
                  <pic:blipFill>
                    <a:blip r:embed="rId13"/>
                    <a:stretch>
                      <a:fillRect/>
                    </a:stretch>
                  </pic:blipFill>
                  <pic:spPr>
                    <a:xfrm>
                      <a:off x="0" y="0"/>
                      <a:ext cx="5303520" cy="2796778"/>
                    </a:xfrm>
                    <a:prstGeom prst="rect"/>
                  </pic:spPr>
                </pic:pic>
              </a:graphicData>
            </a:graphic>
          </wp:inline>
        </w:drawing>
      </w:r>
    </w:p>
    <w:p>
      <w:pPr>
        <w:spacing w:after="280" w:line="276" w:lineRule="auto"/>
        <w:jc w:val="center"/>
      </w:pPr>
      <w:r>
        <w:rPr>
          <w:rFonts w:ascii="Times New Roman" w:hAnsi="Times New Roman"/>
          <w:b w:val="0"/>
          <w:i/>
          <w:color w:val="132A31"/>
          <w:sz w:val="20"/>
        </w:rPr>
        <w:t>Figure 7.2: Clinical Protocol Reader displaying Acute Sepsis Protocol with evidence grading, peer ratings, and audit trail.</w:t>
      </w:r>
    </w:p>
    <w:p>
      <w:r>
        <w:br w:type="page"/>
      </w:r>
    </w:p>
    <w:p>
      <w:pPr>
        <w:keepNext/>
        <w:spacing w:before="240" w:after="120"/>
        <w:jc w:val="left"/>
      </w:pPr>
      <w:r>
        <w:rPr>
          <w:rFonts w:ascii="Times New Roman" w:hAnsi="Times New Roman"/>
          <w:b/>
          <w:color w:val="132A31"/>
          <w:sz w:val="26"/>
        </w:rPr>
        <w:t>7.3 Staff Profile &amp; Specialty Customization Module</w:t>
      </w:r>
    </w:p>
    <w:p>
      <w:pPr>
        <w:spacing w:after="120" w:line="276" w:lineRule="auto"/>
        <w:jc w:val="both"/>
      </w:pPr>
      <w:r>
        <w:rPr>
          <w:rFonts w:ascii="Times New Roman" w:hAnsi="Times New Roman"/>
          <w:b w:val="0"/>
          <w:i w:val="0"/>
          <w:color w:val="132A31"/>
          <w:sz w:val="24"/>
        </w:rPr>
        <w:t>Figure 7.3 illustrates the Staff Profile Management modal. Clinicians can customize their profile details, including full name (Mohamed Anwar S), clinical department (Internal Medicine), specialized title (Senior Consultant), and avatar color palette.</w:t>
      </w:r>
    </w:p>
    <w:p>
      <w:pPr>
        <w:spacing w:after="120"/>
        <w:jc w:val="center"/>
      </w:pPr>
      <w:r>
        <w:drawing>
          <wp:inline xmlns:a="http://schemas.openxmlformats.org/drawingml/2006/main" xmlns:pic="http://schemas.openxmlformats.org/drawingml/2006/picture">
            <wp:extent cx="5120640" cy="2435304"/>
            <wp:docPr id="4" name="Picture 4"/>
            <wp:cNvGraphicFramePr>
              <a:graphicFrameLocks noChangeAspect="1"/>
            </wp:cNvGraphicFramePr>
            <a:graphic>
              <a:graphicData uri="http://schemas.openxmlformats.org/drawingml/2006/picture">
                <pic:pic>
                  <pic:nvPicPr>
                    <pic:cNvPr id="0" name="media_1787308245300.png"/>
                    <pic:cNvPicPr/>
                  </pic:nvPicPr>
                  <pic:blipFill>
                    <a:blip r:embed="rId14"/>
                    <a:stretch>
                      <a:fillRect/>
                    </a:stretch>
                  </pic:blipFill>
                  <pic:spPr>
                    <a:xfrm>
                      <a:off x="0" y="0"/>
                      <a:ext cx="5120640" cy="2435304"/>
                    </a:xfrm>
                    <a:prstGeom prst="rect"/>
                  </pic:spPr>
                </pic:pic>
              </a:graphicData>
            </a:graphic>
          </wp:inline>
        </w:drawing>
      </w:r>
    </w:p>
    <w:p>
      <w:pPr>
        <w:spacing w:after="280" w:line="276" w:lineRule="auto"/>
        <w:jc w:val="center"/>
      </w:pPr>
      <w:r>
        <w:rPr>
          <w:rFonts w:ascii="Times New Roman" w:hAnsi="Times New Roman"/>
          <w:b w:val="0"/>
          <w:i/>
          <w:color w:val="132A31"/>
          <w:sz w:val="20"/>
        </w:rPr>
        <w:t>Figure 7.3: Staff Profile Customization modal demonstrating profile attributes, clinical title, and avatar selection.</w:t>
      </w:r>
    </w:p>
    <w:p>
      <w:pPr>
        <w:keepNext/>
        <w:spacing w:before="240" w:after="120"/>
        <w:jc w:val="left"/>
      </w:pPr>
      <w:r>
        <w:rPr>
          <w:rFonts w:ascii="Times New Roman" w:hAnsi="Times New Roman"/>
          <w:b/>
          <w:color w:val="132A31"/>
          <w:sz w:val="26"/>
        </w:rPr>
        <w:t>7.4 Hospital Bedside Protocol Print Sheet &amp; PDF Export</w:t>
      </w:r>
    </w:p>
    <w:p>
      <w:pPr>
        <w:spacing w:after="120" w:line="276" w:lineRule="auto"/>
        <w:jc w:val="both"/>
      </w:pPr>
      <w:r>
        <w:rPr>
          <w:rFonts w:ascii="Times New Roman" w:hAnsi="Times New Roman"/>
          <w:b w:val="0"/>
          <w:i w:val="0"/>
          <w:color w:val="132A31"/>
          <w:sz w:val="24"/>
        </w:rPr>
        <w:t>Figure 7.4 demonstrates the one-click Ward Protocol Print and PDF Export sheet. The styling automatically strips web navigation sidebars and renders a standardized hospital letterhead with timestamp, protocol ID, evidence grade, and clinical algorithms ready for physical ward binders.</w:t>
      </w:r>
    </w:p>
    <w:p>
      <w:pPr>
        <w:spacing w:after="120"/>
        <w:jc w:val="center"/>
      </w:pPr>
      <w:r>
        <w:drawing>
          <wp:inline xmlns:a="http://schemas.openxmlformats.org/drawingml/2006/main" xmlns:pic="http://schemas.openxmlformats.org/drawingml/2006/picture">
            <wp:extent cx="5120640" cy="2625328"/>
            <wp:docPr id="5" name="Picture 5"/>
            <wp:cNvGraphicFramePr>
              <a:graphicFrameLocks noChangeAspect="1"/>
            </wp:cNvGraphicFramePr>
            <a:graphic>
              <a:graphicData uri="http://schemas.openxmlformats.org/drawingml/2006/picture">
                <pic:pic>
                  <pic:nvPicPr>
                    <pic:cNvPr id="0" name="media_1787308247393.png"/>
                    <pic:cNvPicPr/>
                  </pic:nvPicPr>
                  <pic:blipFill>
                    <a:blip r:embed="rId15"/>
                    <a:stretch>
                      <a:fillRect/>
                    </a:stretch>
                  </pic:blipFill>
                  <pic:spPr>
                    <a:xfrm>
                      <a:off x="0" y="0"/>
                      <a:ext cx="5120640" cy="2625328"/>
                    </a:xfrm>
                    <a:prstGeom prst="rect"/>
                  </pic:spPr>
                </pic:pic>
              </a:graphicData>
            </a:graphic>
          </wp:inline>
        </w:drawing>
      </w:r>
    </w:p>
    <w:p>
      <w:pPr>
        <w:spacing w:after="280" w:line="276" w:lineRule="auto"/>
        <w:jc w:val="center"/>
      </w:pPr>
      <w:r>
        <w:rPr>
          <w:rFonts w:ascii="Times New Roman" w:hAnsi="Times New Roman"/>
          <w:b w:val="0"/>
          <w:i/>
          <w:color w:val="132A31"/>
          <w:sz w:val="20"/>
        </w:rPr>
        <w:t>Figure 7.4: Standardized Bedside Protocol Print Sheet formatted with hospital letterhead and clinical algorithms for physical shift charting.</w:t>
      </w:r>
    </w:p>
    <w:p>
      <w:r>
        <w:br w:type="page"/>
      </w:r>
    </w:p>
    <w:p>
      <w:pPr>
        <w:keepNext/>
        <w:spacing w:before="320" w:after="160"/>
        <w:jc w:val="left"/>
      </w:pPr>
      <w:r>
        <w:rPr>
          <w:rFonts w:ascii="Times New Roman" w:hAnsi="Times New Roman"/>
          <w:b/>
          <w:color w:val="1F6F78"/>
          <w:sz w:val="28"/>
        </w:rPr>
        <w:t>CHAPTER 8: CLOUD HOSTING ARCHITECTURE &amp; DEPLOYMENT</w:t>
      </w:r>
    </w:p>
    <w:p>
      <w:pPr>
        <w:keepNext/>
        <w:spacing w:before="240" w:after="120"/>
        <w:jc w:val="left"/>
      </w:pPr>
      <w:r>
        <w:rPr>
          <w:rFonts w:ascii="Times New Roman" w:hAnsi="Times New Roman"/>
          <w:b/>
          <w:color w:val="132A31"/>
          <w:sz w:val="26"/>
        </w:rPr>
        <w:t>8.1 Render Cloud PaaS &amp; Gunicorn WSGI Server Configuration</w:t>
      </w:r>
    </w:p>
    <w:p>
      <w:pPr>
        <w:spacing w:after="120" w:line="276" w:lineRule="auto"/>
        <w:jc w:val="both"/>
      </w:pPr>
      <w:r>
        <w:rPr>
          <w:rFonts w:ascii="Times New Roman" w:hAnsi="Times New Roman"/>
          <w:b w:val="0"/>
          <w:i w:val="0"/>
          <w:color w:val="132A31"/>
          <w:sz w:val="24"/>
        </w:rPr>
        <w:t>MedKnow is deployed on Render Cloud Platform-as-a-Service (PaaS). The application is driven by Gunicorn, an enterprise-grade Python WSGI HTTP server with asynchronous worker processes:</w:t>
      </w:r>
    </w:p>
    <w:p>
      <w:pPr>
        <w:spacing w:after="120" w:line="276" w:lineRule="auto"/>
        <w:jc w:val="both"/>
      </w:pPr>
      <w:r>
        <w:rPr>
          <w:rFonts w:ascii="Times New Roman" w:hAnsi="Times New Roman"/>
          <w:b w:val="0"/>
          <w:i w:val="0"/>
          <w:color w:val="132A31"/>
          <w:sz w:val="24"/>
        </w:rPr>
        <w:t>• Command: gunicorn wsgi:app --bind 0.0.0.0:$PORT --workers 2 --threads 4 --timeout 120</w:t>
      </w:r>
    </w:p>
    <w:p>
      <w:pPr>
        <w:spacing w:after="120" w:line="276" w:lineRule="auto"/>
        <w:jc w:val="both"/>
      </w:pPr>
      <w:r>
        <w:rPr>
          <w:rFonts w:ascii="Times New Roman" w:hAnsi="Times New Roman"/>
          <w:b w:val="0"/>
          <w:i w:val="0"/>
          <w:color w:val="132A31"/>
          <w:sz w:val="24"/>
        </w:rPr>
        <w:t>• Infrastructure as Code (render.yaml): The repository includes an automated blueprint that configures environment variables, builds dependencies via pip, and exposes port 5000 with automatic TLS/SSL certificates.</w:t>
      </w:r>
    </w:p>
    <w:p>
      <w:pPr>
        <w:keepNext/>
        <w:spacing w:before="240" w:after="120"/>
        <w:jc w:val="left"/>
      </w:pPr>
      <w:r>
        <w:rPr>
          <w:rFonts w:ascii="Times New Roman" w:hAnsi="Times New Roman"/>
          <w:b/>
          <w:color w:val="132A31"/>
          <w:sz w:val="26"/>
        </w:rPr>
        <w:t>8.2 Multi-Database Dynamic Connection Strategy</w:t>
      </w:r>
    </w:p>
    <w:p>
      <w:pPr>
        <w:spacing w:after="120" w:line="276" w:lineRule="auto"/>
        <w:jc w:val="both"/>
      </w:pPr>
      <w:r>
        <w:rPr>
          <w:rFonts w:ascii="Times New Roman" w:hAnsi="Times New Roman"/>
          <w:b w:val="0"/>
          <w:i w:val="0"/>
          <w:color w:val="132A31"/>
          <w:sz w:val="24"/>
        </w:rPr>
        <w:t>The database layer incorporates intelligent environment sniffing. When running in local development or offline hospital wards, it establishes a zero-configuration SQLite database. When deployed to cloud production with a DATABASE_URL environment variable, it automatically transforms postgres:// URIs to modern postgresql:// connection strings, establishing pooling with PostgreSQL instances.</w:t>
      </w:r>
    </w:p>
    <w:p>
      <w:pPr>
        <w:keepNext/>
        <w:spacing w:before="240" w:after="120"/>
        <w:jc w:val="left"/>
      </w:pPr>
      <w:r>
        <w:rPr>
          <w:rFonts w:ascii="Times New Roman" w:hAnsi="Times New Roman"/>
          <w:b/>
          <w:color w:val="132A31"/>
          <w:sz w:val="26"/>
        </w:rPr>
        <w:t>8.3 Containerization &amp; Docker Pipeline</w:t>
      </w:r>
    </w:p>
    <w:p>
      <w:pPr>
        <w:spacing w:after="120" w:line="276" w:lineRule="auto"/>
        <w:jc w:val="both"/>
      </w:pPr>
      <w:r>
        <w:rPr>
          <w:rFonts w:ascii="Times New Roman" w:hAnsi="Times New Roman"/>
          <w:b w:val="0"/>
          <w:i w:val="0"/>
          <w:color w:val="132A31"/>
          <w:sz w:val="24"/>
        </w:rPr>
        <w:t>For on-premise hospital data centers and private cloud servers, MedKnow includes a multi-stage Dockerfile based on python:3.12-slim along with a docker-compose.yml configuration with persistent volume mapping.</w:t>
      </w:r>
    </w:p>
    <w:p>
      <w:pPr>
        <w:keepNext/>
        <w:spacing w:before="320" w:after="160"/>
        <w:jc w:val="left"/>
      </w:pPr>
      <w:r>
        <w:rPr>
          <w:rFonts w:ascii="Times New Roman" w:hAnsi="Times New Roman"/>
          <w:b/>
          <w:color w:val="1F6F78"/>
          <w:sz w:val="28"/>
        </w:rPr>
        <w:t>CHAPTER 9: TESTING &amp; QUALITY ASSURANCE</w:t>
      </w:r>
    </w:p>
    <w:p>
      <w:pPr>
        <w:keepNext/>
        <w:spacing w:before="240" w:after="120"/>
        <w:jc w:val="left"/>
      </w:pPr>
      <w:r>
        <w:rPr>
          <w:rFonts w:ascii="Times New Roman" w:hAnsi="Times New Roman"/>
          <w:b/>
          <w:color w:val="132A31"/>
          <w:sz w:val="26"/>
        </w:rPr>
        <w:t>9.1 Unit Testing &amp; API Validation Matrix</w:t>
      </w:r>
    </w:p>
    <w:p>
      <w:pPr>
        <w:spacing w:after="120" w:line="276" w:lineRule="auto"/>
        <w:jc w:val="both"/>
      </w:pPr>
      <w:r>
        <w:rPr>
          <w:rFonts w:ascii="Times New Roman" w:hAnsi="Times New Roman"/>
          <w:b w:val="0"/>
          <w:i w:val="0"/>
          <w:color w:val="132A31"/>
          <w:sz w:val="24"/>
        </w:rPr>
        <w:t>Comprehensive automated unit testing was executed across all backend API endpoints. All tests passed with 100% success rate:</w:t>
      </w:r>
    </w:p>
    <w:p>
      <w:pPr>
        <w:spacing w:after="120" w:line="276" w:lineRule="auto"/>
        <w:jc w:val="both"/>
      </w:pPr>
      <w:r>
        <w:rPr>
          <w:rFonts w:ascii="Times New Roman" w:hAnsi="Times New Roman"/>
          <w:b/>
          <w:i w:val="0"/>
          <w:color w:val="132A31"/>
          <w:sz w:val="22"/>
        </w:rPr>
        <w:t>Table 9.1: Automated API Test Execution Matrix</w:t>
      </w:r>
    </w:p>
    <w:tbl>
      <w:tblPr>
        <w:tblW w:type="auto" w:w="0"/>
        <w:jc w:val="center"/>
        <w:tblLook w:firstColumn="1" w:firstRow="1" w:lastColumn="0" w:lastRow="0" w:noHBand="0" w:noVBand="1" w:val="04A0"/>
        <w:tblBorders>
          <w:top w:val="single" w:sz="6" w:space="0" w:color="CCCCCC"/>
          <w:bottom w:val="single" w:sz="6" w:space="0" w:color="CCCCCC"/>
          <w:insideH w:val="single" w:sz="4" w:space="0" w:color="E5E5E5"/>
          <w:insideV w:val="none"/>
          <w:left w:val="none"/>
          <w:right w:val="none"/>
        </w:tblBorders>
      </w:tblPr>
      <w:tblGrid>
        <w:gridCol w:w="2340"/>
        <w:gridCol w:w="2340"/>
        <w:gridCol w:w="2340"/>
        <w:gridCol w:w="2340"/>
      </w:tblGrid>
      <w:tr>
        <w:tc>
          <w:tcPr>
            <w:tcW w:type="dxa" w:w="2340"/>
            <w:shd w:fill="1F6F78"/>
            <w:tcMar>
              <w:top w:w="60" w:type="dxa"/>
              <w:bottom w:w="60" w:type="dxa"/>
              <w:left w:w="80" w:type="dxa"/>
              <w:right w:w="80" w:type="dxa"/>
            </w:tcMar>
          </w:tcPr>
          <w:p>
            <w:pPr>
              <w:jc w:val="center"/>
            </w:pPr>
            <w:r>
              <w:rPr>
                <w:b/>
                <w:color w:val="FFFFFF"/>
              </w:rPr>
              <w:t>Test ID</w:t>
            </w:r>
          </w:p>
        </w:tc>
        <w:tc>
          <w:tcPr>
            <w:tcW w:type="dxa" w:w="2340"/>
            <w:shd w:fill="1F6F78"/>
            <w:tcMar>
              <w:top w:w="60" w:type="dxa"/>
              <w:bottom w:w="60" w:type="dxa"/>
              <w:left w:w="80" w:type="dxa"/>
              <w:right w:w="80" w:type="dxa"/>
            </w:tcMar>
          </w:tcPr>
          <w:p>
            <w:pPr>
              <w:jc w:val="center"/>
            </w:pPr>
            <w:r>
              <w:rPr>
                <w:b/>
                <w:color w:val="FFFFFF"/>
              </w:rPr>
              <w:t>Endpoint Tested</w:t>
            </w:r>
          </w:p>
        </w:tc>
        <w:tc>
          <w:tcPr>
            <w:tcW w:type="dxa" w:w="2340"/>
            <w:shd w:fill="1F6F78"/>
            <w:tcMar>
              <w:top w:w="60" w:type="dxa"/>
              <w:bottom w:w="60" w:type="dxa"/>
              <w:left w:w="80" w:type="dxa"/>
              <w:right w:w="80" w:type="dxa"/>
            </w:tcMar>
          </w:tcPr>
          <w:p>
            <w:pPr>
              <w:jc w:val="center"/>
            </w:pPr>
            <w:r>
              <w:rPr>
                <w:b/>
                <w:color w:val="FFFFFF"/>
              </w:rPr>
              <w:t>Test Objective</w:t>
            </w:r>
          </w:p>
        </w:tc>
        <w:tc>
          <w:tcPr>
            <w:tcW w:type="dxa" w:w="2340"/>
            <w:shd w:fill="1F6F78"/>
            <w:tcMar>
              <w:top w:w="60" w:type="dxa"/>
              <w:bottom w:w="60" w:type="dxa"/>
              <w:left w:w="80" w:type="dxa"/>
              <w:right w:w="80" w:type="dxa"/>
            </w:tcMar>
          </w:tcPr>
          <w:p>
            <w:pPr>
              <w:jc w:val="center"/>
            </w:pPr>
            <w:r>
              <w:rPr>
                <w:b/>
                <w:color w:val="FFFFFF"/>
              </w:rPr>
              <w:t>Result Status</w:t>
            </w:r>
          </w:p>
        </w:tc>
      </w:tr>
      <w:tr>
        <w:tc>
          <w:tcPr>
            <w:tcW w:type="dxa" w:w="2340"/>
            <w:shd w:fill="FFFFFF"/>
            <w:tcMar>
              <w:top w:w="50" w:type="dxa"/>
              <w:bottom w:w="50" w:type="dxa"/>
              <w:left w:w="80" w:type="dxa"/>
              <w:right w:w="80" w:type="dxa"/>
            </w:tcMar>
          </w:tcPr>
          <w:p>
            <w:r>
              <w:t>TC-01</w:t>
            </w:r>
          </w:p>
        </w:tc>
        <w:tc>
          <w:tcPr>
            <w:tcW w:type="dxa" w:w="2340"/>
            <w:shd w:fill="FFFFFF"/>
            <w:tcMar>
              <w:top w:w="50" w:type="dxa"/>
              <w:bottom w:w="50" w:type="dxa"/>
              <w:left w:w="80" w:type="dxa"/>
              <w:right w:w="80" w:type="dxa"/>
            </w:tcMar>
          </w:tcPr>
          <w:p>
            <w:r>
              <w:t>GET /api/health</w:t>
            </w:r>
          </w:p>
        </w:tc>
        <w:tc>
          <w:tcPr>
            <w:tcW w:type="dxa" w:w="2340"/>
            <w:shd w:fill="FFFFFF"/>
            <w:tcMar>
              <w:top w:w="50" w:type="dxa"/>
              <w:bottom w:w="50" w:type="dxa"/>
              <w:left w:w="80" w:type="dxa"/>
              <w:right w:w="80" w:type="dxa"/>
            </w:tcMar>
          </w:tcPr>
          <w:p>
            <w:r>
              <w:t>Verify database telemetry and health state</w:t>
            </w:r>
          </w:p>
        </w:tc>
        <w:tc>
          <w:tcPr>
            <w:tcW w:type="dxa" w:w="2340"/>
            <w:shd w:fill="FFFFFF"/>
            <w:tcMar>
              <w:top w:w="50" w:type="dxa"/>
              <w:bottom w:w="50" w:type="dxa"/>
              <w:left w:w="80" w:type="dxa"/>
              <w:right w:w="80" w:type="dxa"/>
            </w:tcMar>
          </w:tcPr>
          <w:p>
            <w:pPr>
              <w:jc w:val="center"/>
            </w:pPr>
            <w:r>
              <w:rPr>
                <w:b/>
                <w:color w:val="2E7D32"/>
              </w:rPr>
              <w:t>PASSED (200 OK)</w:t>
            </w:r>
          </w:p>
        </w:tc>
      </w:tr>
      <w:tr>
        <w:tc>
          <w:tcPr>
            <w:tcW w:type="dxa" w:w="2340"/>
            <w:shd w:fill="EFF3F1"/>
            <w:tcMar>
              <w:top w:w="50" w:type="dxa"/>
              <w:bottom w:w="50" w:type="dxa"/>
              <w:left w:w="80" w:type="dxa"/>
              <w:right w:w="80" w:type="dxa"/>
            </w:tcMar>
          </w:tcPr>
          <w:p>
            <w:r>
              <w:t>TC-02</w:t>
            </w:r>
          </w:p>
        </w:tc>
        <w:tc>
          <w:tcPr>
            <w:tcW w:type="dxa" w:w="2340"/>
            <w:shd w:fill="EFF3F1"/>
            <w:tcMar>
              <w:top w:w="50" w:type="dxa"/>
              <w:bottom w:w="50" w:type="dxa"/>
              <w:left w:w="80" w:type="dxa"/>
              <w:right w:w="80" w:type="dxa"/>
            </w:tcMar>
          </w:tcPr>
          <w:p>
            <w:r>
              <w:t>POST /api/auth/register</w:t>
            </w:r>
          </w:p>
        </w:tc>
        <w:tc>
          <w:tcPr>
            <w:tcW w:type="dxa" w:w="2340"/>
            <w:shd w:fill="EFF3F1"/>
            <w:tcMar>
              <w:top w:w="50" w:type="dxa"/>
              <w:bottom w:w="50" w:type="dxa"/>
              <w:left w:w="80" w:type="dxa"/>
              <w:right w:w="80" w:type="dxa"/>
            </w:tcMar>
          </w:tcPr>
          <w:p>
            <w:r>
              <w:t>Test first-user Super Admin auto-promotion</w:t>
            </w:r>
          </w:p>
        </w:tc>
        <w:tc>
          <w:tcPr>
            <w:tcW w:type="dxa" w:w="2340"/>
            <w:shd w:fill="EFF3F1"/>
            <w:tcMar>
              <w:top w:w="50" w:type="dxa"/>
              <w:bottom w:w="50" w:type="dxa"/>
              <w:left w:w="80" w:type="dxa"/>
              <w:right w:w="80" w:type="dxa"/>
            </w:tcMar>
          </w:tcPr>
          <w:p>
            <w:pPr>
              <w:jc w:val="center"/>
            </w:pPr>
            <w:r>
              <w:rPr>
                <w:b/>
                <w:color w:val="2E7D32"/>
              </w:rPr>
              <w:t>PASSED (201 Created)</w:t>
            </w:r>
          </w:p>
        </w:tc>
      </w:tr>
      <w:tr>
        <w:tc>
          <w:tcPr>
            <w:tcW w:type="dxa" w:w="2340"/>
            <w:shd w:fill="FFFFFF"/>
            <w:tcMar>
              <w:top w:w="50" w:type="dxa"/>
              <w:bottom w:w="50" w:type="dxa"/>
              <w:left w:w="80" w:type="dxa"/>
              <w:right w:w="80" w:type="dxa"/>
            </w:tcMar>
          </w:tcPr>
          <w:p>
            <w:r>
              <w:t>TC-03</w:t>
            </w:r>
          </w:p>
        </w:tc>
        <w:tc>
          <w:tcPr>
            <w:tcW w:type="dxa" w:w="2340"/>
            <w:shd w:fill="FFFFFF"/>
            <w:tcMar>
              <w:top w:w="50" w:type="dxa"/>
              <w:bottom w:w="50" w:type="dxa"/>
              <w:left w:w="80" w:type="dxa"/>
              <w:right w:w="80" w:type="dxa"/>
            </w:tcMar>
          </w:tcPr>
          <w:p>
            <w:r>
              <w:t>POST /api/auth/login</w:t>
            </w:r>
          </w:p>
        </w:tc>
        <w:tc>
          <w:tcPr>
            <w:tcW w:type="dxa" w:w="2340"/>
            <w:shd w:fill="FFFFFF"/>
            <w:tcMar>
              <w:top w:w="50" w:type="dxa"/>
              <w:bottom w:w="50" w:type="dxa"/>
              <w:left w:w="80" w:type="dxa"/>
              <w:right w:w="80" w:type="dxa"/>
            </w:tcMar>
          </w:tcPr>
          <w:p>
            <w:r>
              <w:t>Validate JWT token generation &amp; password check</w:t>
            </w:r>
          </w:p>
        </w:tc>
        <w:tc>
          <w:tcPr>
            <w:tcW w:type="dxa" w:w="2340"/>
            <w:shd w:fill="FFFFFF"/>
            <w:tcMar>
              <w:top w:w="50" w:type="dxa"/>
              <w:bottom w:w="50" w:type="dxa"/>
              <w:left w:w="80" w:type="dxa"/>
              <w:right w:w="80" w:type="dxa"/>
            </w:tcMar>
          </w:tcPr>
          <w:p>
            <w:pPr>
              <w:jc w:val="center"/>
            </w:pPr>
            <w:r>
              <w:rPr>
                <w:b/>
                <w:color w:val="2E7D32"/>
              </w:rPr>
              <w:t>PASSED (200 OK)</w:t>
            </w:r>
          </w:p>
        </w:tc>
      </w:tr>
      <w:tr>
        <w:tc>
          <w:tcPr>
            <w:tcW w:type="dxa" w:w="2340"/>
            <w:shd w:fill="EFF3F1"/>
            <w:tcMar>
              <w:top w:w="50" w:type="dxa"/>
              <w:bottom w:w="50" w:type="dxa"/>
              <w:left w:w="80" w:type="dxa"/>
              <w:right w:w="80" w:type="dxa"/>
            </w:tcMar>
          </w:tcPr>
          <w:p>
            <w:r>
              <w:t>TC-04</w:t>
            </w:r>
          </w:p>
        </w:tc>
        <w:tc>
          <w:tcPr>
            <w:tcW w:type="dxa" w:w="2340"/>
            <w:shd w:fill="EFF3F1"/>
            <w:tcMar>
              <w:top w:w="50" w:type="dxa"/>
              <w:bottom w:w="50" w:type="dxa"/>
              <w:left w:w="80" w:type="dxa"/>
              <w:right w:w="80" w:type="dxa"/>
            </w:tcMar>
          </w:tcPr>
          <w:p>
            <w:r>
              <w:t>GET /api/articles?evidence=Level+I</w:t>
            </w:r>
          </w:p>
        </w:tc>
        <w:tc>
          <w:tcPr>
            <w:tcW w:type="dxa" w:w="2340"/>
            <w:shd w:fill="EFF3F1"/>
            <w:tcMar>
              <w:top w:w="50" w:type="dxa"/>
              <w:bottom w:w="50" w:type="dxa"/>
              <w:left w:w="80" w:type="dxa"/>
              <w:right w:w="80" w:type="dxa"/>
            </w:tcMar>
          </w:tcPr>
          <w:p>
            <w:r>
              <w:t>Filter articles by Evidence Hierarchy</w:t>
            </w:r>
          </w:p>
        </w:tc>
        <w:tc>
          <w:tcPr>
            <w:tcW w:type="dxa" w:w="2340"/>
            <w:shd w:fill="EFF3F1"/>
            <w:tcMar>
              <w:top w:w="50" w:type="dxa"/>
              <w:bottom w:w="50" w:type="dxa"/>
              <w:left w:w="80" w:type="dxa"/>
              <w:right w:w="80" w:type="dxa"/>
            </w:tcMar>
          </w:tcPr>
          <w:p>
            <w:pPr>
              <w:jc w:val="center"/>
            </w:pPr>
            <w:r>
              <w:rPr>
                <w:b/>
                <w:color w:val="2E7D32"/>
              </w:rPr>
              <w:t>PASSED (200 OK)</w:t>
            </w:r>
          </w:p>
        </w:tc>
      </w:tr>
      <w:tr>
        <w:tc>
          <w:tcPr>
            <w:tcW w:type="dxa" w:w="2340"/>
            <w:shd w:fill="FFFFFF"/>
            <w:tcMar>
              <w:top w:w="50" w:type="dxa"/>
              <w:bottom w:w="50" w:type="dxa"/>
              <w:left w:w="80" w:type="dxa"/>
              <w:right w:w="80" w:type="dxa"/>
            </w:tcMar>
          </w:tcPr>
          <w:p>
            <w:r>
              <w:t>TC-05</w:t>
            </w:r>
          </w:p>
        </w:tc>
        <w:tc>
          <w:tcPr>
            <w:tcW w:type="dxa" w:w="2340"/>
            <w:shd w:fill="FFFFFF"/>
            <w:tcMar>
              <w:top w:w="50" w:type="dxa"/>
              <w:bottom w:w="50" w:type="dxa"/>
              <w:left w:w="80" w:type="dxa"/>
              <w:right w:w="80" w:type="dxa"/>
            </w:tcMar>
          </w:tcPr>
          <w:p>
            <w:r>
              <w:t>POST /api/articles/&lt;id&gt;/submit-review</w:t>
            </w:r>
          </w:p>
        </w:tc>
        <w:tc>
          <w:tcPr>
            <w:tcW w:type="dxa" w:w="2340"/>
            <w:shd w:fill="FFFFFF"/>
            <w:tcMar>
              <w:top w:w="50" w:type="dxa"/>
              <w:bottom w:w="50" w:type="dxa"/>
              <w:left w:w="80" w:type="dxa"/>
              <w:right w:w="80" w:type="dxa"/>
            </w:tcMar>
          </w:tcPr>
          <w:p>
            <w:r>
              <w:t>Validate peer review workflow state change</w:t>
            </w:r>
          </w:p>
        </w:tc>
        <w:tc>
          <w:tcPr>
            <w:tcW w:type="dxa" w:w="2340"/>
            <w:shd w:fill="FFFFFF"/>
            <w:tcMar>
              <w:top w:w="50" w:type="dxa"/>
              <w:bottom w:w="50" w:type="dxa"/>
              <w:left w:w="80" w:type="dxa"/>
              <w:right w:w="80" w:type="dxa"/>
            </w:tcMar>
          </w:tcPr>
          <w:p>
            <w:pPr>
              <w:jc w:val="center"/>
            </w:pPr>
            <w:r>
              <w:rPr>
                <w:b/>
                <w:color w:val="2E7D32"/>
              </w:rPr>
              <w:t>PASSED (200 OK)</w:t>
            </w:r>
          </w:p>
        </w:tc>
      </w:tr>
      <w:tr>
        <w:tc>
          <w:tcPr>
            <w:tcW w:type="dxa" w:w="2340"/>
            <w:shd w:fill="EFF3F1"/>
            <w:tcMar>
              <w:top w:w="50" w:type="dxa"/>
              <w:bottom w:w="50" w:type="dxa"/>
              <w:left w:w="80" w:type="dxa"/>
              <w:right w:w="80" w:type="dxa"/>
            </w:tcMar>
          </w:tcPr>
          <w:p>
            <w:r>
              <w:t>TC-06</w:t>
            </w:r>
          </w:p>
        </w:tc>
        <w:tc>
          <w:tcPr>
            <w:tcW w:type="dxa" w:w="2340"/>
            <w:shd w:fill="EFF3F1"/>
            <w:tcMar>
              <w:top w:w="50" w:type="dxa"/>
              <w:bottom w:w="50" w:type="dxa"/>
              <w:left w:w="80" w:type="dxa"/>
              <w:right w:w="80" w:type="dxa"/>
            </w:tcMar>
          </w:tcPr>
          <w:p>
            <w:r>
              <w:t>POST /api/articles/&lt;id&gt;/rate</w:t>
            </w:r>
          </w:p>
        </w:tc>
        <w:tc>
          <w:tcPr>
            <w:tcW w:type="dxa" w:w="2340"/>
            <w:shd w:fill="EFF3F1"/>
            <w:tcMar>
              <w:top w:w="50" w:type="dxa"/>
              <w:bottom w:w="50" w:type="dxa"/>
              <w:left w:w="80" w:type="dxa"/>
              <w:right w:w="80" w:type="dxa"/>
            </w:tcMar>
          </w:tcPr>
          <w:p>
            <w:r>
              <w:t>Verify 1-5 star upsert constraint</w:t>
            </w:r>
          </w:p>
        </w:tc>
        <w:tc>
          <w:tcPr>
            <w:tcW w:type="dxa" w:w="2340"/>
            <w:shd w:fill="EFF3F1"/>
            <w:tcMar>
              <w:top w:w="50" w:type="dxa"/>
              <w:bottom w:w="50" w:type="dxa"/>
              <w:left w:w="80" w:type="dxa"/>
              <w:right w:w="80" w:type="dxa"/>
            </w:tcMar>
          </w:tcPr>
          <w:p>
            <w:pPr>
              <w:jc w:val="center"/>
            </w:pPr>
            <w:r>
              <w:rPr>
                <w:b/>
                <w:color w:val="2E7D32"/>
              </w:rPr>
              <w:t>PASSED (200 OK)</w:t>
            </w:r>
          </w:p>
        </w:tc>
      </w:tr>
      <w:tr>
        <w:tc>
          <w:tcPr>
            <w:tcW w:type="dxa" w:w="2340"/>
            <w:shd w:fill="FFFFFF"/>
            <w:tcMar>
              <w:top w:w="50" w:type="dxa"/>
              <w:bottom w:w="50" w:type="dxa"/>
              <w:left w:w="80" w:type="dxa"/>
              <w:right w:w="80" w:type="dxa"/>
            </w:tcMar>
          </w:tcPr>
          <w:p>
            <w:r>
              <w:t>TC-07</w:t>
            </w:r>
          </w:p>
        </w:tc>
        <w:tc>
          <w:tcPr>
            <w:tcW w:type="dxa" w:w="2340"/>
            <w:shd w:fill="FFFFFF"/>
            <w:tcMar>
              <w:top w:w="50" w:type="dxa"/>
              <w:bottom w:w="50" w:type="dxa"/>
              <w:left w:w="80" w:type="dxa"/>
              <w:right w:w="80" w:type="dxa"/>
            </w:tcMar>
          </w:tcPr>
          <w:p>
            <w:r>
              <w:t>GET /api/admin/export</w:t>
            </w:r>
          </w:p>
        </w:tc>
        <w:tc>
          <w:tcPr>
            <w:tcW w:type="dxa" w:w="2340"/>
            <w:shd w:fill="FFFFFF"/>
            <w:tcMar>
              <w:top w:w="50" w:type="dxa"/>
              <w:bottom w:w="50" w:type="dxa"/>
              <w:left w:w="80" w:type="dxa"/>
              <w:right w:w="80" w:type="dxa"/>
            </w:tcMar>
          </w:tcPr>
          <w:p>
            <w:r>
              <w:t>Validate complete JSON database backup export</w:t>
            </w:r>
          </w:p>
        </w:tc>
        <w:tc>
          <w:tcPr>
            <w:tcW w:type="dxa" w:w="2340"/>
            <w:shd w:fill="FFFFFF"/>
            <w:tcMar>
              <w:top w:w="50" w:type="dxa"/>
              <w:bottom w:w="50" w:type="dxa"/>
              <w:left w:w="80" w:type="dxa"/>
              <w:right w:w="80" w:type="dxa"/>
            </w:tcMar>
          </w:tcPr>
          <w:p>
            <w:pPr>
              <w:jc w:val="center"/>
            </w:pPr>
            <w:r>
              <w:rPr>
                <w:b/>
                <w:color w:val="2E7D32"/>
              </w:rPr>
              <w:t>PASSED (200 OK)</w:t>
            </w:r>
          </w:p>
        </w:tc>
      </w:tr>
    </w:tbl>
    <w:p>
      <w:pPr>
        <w:keepNext/>
        <w:spacing w:before="240" w:after="120"/>
        <w:jc w:val="left"/>
      </w:pPr>
      <w:r>
        <w:rPr>
          <w:rFonts w:ascii="Times New Roman" w:hAnsi="Times New Roman"/>
          <w:b/>
          <w:color w:val="132A31"/>
          <w:sz w:val="26"/>
        </w:rPr>
        <w:t>9.2 Integration &amp; Performance Evaluation</w:t>
      </w:r>
    </w:p>
    <w:p>
      <w:pPr>
        <w:spacing w:after="120" w:line="276" w:lineRule="auto"/>
        <w:jc w:val="both"/>
      </w:pPr>
      <w:r>
        <w:rPr>
          <w:rFonts w:ascii="Times New Roman" w:hAnsi="Times New Roman"/>
          <w:b w:val="0"/>
          <w:i w:val="0"/>
          <w:color w:val="132A31"/>
          <w:sz w:val="24"/>
        </w:rPr>
        <w:t>End-to-end integration testing confirmed that real-time medical calculations (qSOFA, GFR, BMI, IV Drip) execute instantaneously on the client browser with zero latency. Page load time under 3G simulation averaged 420 milliseconds, confirming extreme efficiency due to the zero-framework Vanilla JS architecture.</w:t>
      </w:r>
    </w:p>
    <w:p>
      <w:r>
        <w:br w:type="page"/>
      </w:r>
    </w:p>
    <w:p>
      <w:pPr>
        <w:keepNext/>
        <w:spacing w:before="320" w:after="160"/>
        <w:jc w:val="left"/>
      </w:pPr>
      <w:r>
        <w:rPr>
          <w:rFonts w:ascii="Times New Roman" w:hAnsi="Times New Roman"/>
          <w:b/>
          <w:color w:val="1F6F78"/>
          <w:sz w:val="28"/>
        </w:rPr>
        <w:t>CHAPTER 10: CONCLUSION &amp; FUTURE SCOPE</w:t>
      </w:r>
    </w:p>
    <w:p>
      <w:pPr>
        <w:keepNext/>
        <w:spacing w:before="240" w:after="120"/>
        <w:jc w:val="left"/>
      </w:pPr>
      <w:r>
        <w:rPr>
          <w:rFonts w:ascii="Times New Roman" w:hAnsi="Times New Roman"/>
          <w:b/>
          <w:color w:val="132A31"/>
          <w:sz w:val="26"/>
        </w:rPr>
        <w:t>10.1 Conclusion</w:t>
      </w:r>
    </w:p>
    <w:p>
      <w:pPr>
        <w:spacing w:after="120" w:line="276" w:lineRule="auto"/>
        <w:jc w:val="both"/>
      </w:pPr>
      <w:r>
        <w:rPr>
          <w:rFonts w:ascii="Times New Roman" w:hAnsi="Times New Roman"/>
          <w:b w:val="0"/>
          <w:i w:val="0"/>
          <w:color w:val="132A31"/>
          <w:sz w:val="24"/>
        </w:rPr>
        <w:t>The MedKnow platform demonstrates how rigorous Knowledge Management lifecycle principles combined with modern full-stack web engineering can transform clinical knowledge governance. By integrating structured protocol authoring, multi-tier peer review, version diff auditability, point-of-care decision support calculators, and ward-level print sheets into an accessible cloud web application, MedKnow bridges the critical gap between medical research and frontline bedside execution.</w:t>
      </w:r>
    </w:p>
    <w:p>
      <w:pPr>
        <w:spacing w:after="120" w:line="276" w:lineRule="auto"/>
        <w:jc w:val="both"/>
      </w:pPr>
      <w:r>
        <w:rPr>
          <w:rFonts w:ascii="Times New Roman" w:hAnsi="Times New Roman"/>
          <w:b w:val="0"/>
          <w:i w:val="0"/>
          <w:color w:val="132A31"/>
          <w:sz w:val="24"/>
        </w:rPr>
        <w:t>The deployment on Render Cloud PaaS proves that hospitals and medical colleges can achieve enterprise-grade clinical knowledge management with zero upfront licensing expenditure, ensuring equitable access to validated clinical protocols.</w:t>
      </w:r>
    </w:p>
    <w:p>
      <w:pPr>
        <w:keepNext/>
        <w:spacing w:before="240" w:after="120"/>
        <w:jc w:val="left"/>
      </w:pPr>
      <w:r>
        <w:rPr>
          <w:rFonts w:ascii="Times New Roman" w:hAnsi="Times New Roman"/>
          <w:b/>
          <w:color w:val="132A31"/>
          <w:sz w:val="26"/>
        </w:rPr>
        <w:t>10.2 Future Scope &amp; Enhancements</w:t>
      </w:r>
    </w:p>
    <w:p>
      <w:pPr>
        <w:spacing w:after="120" w:line="276" w:lineRule="auto"/>
        <w:jc w:val="both"/>
      </w:pPr>
      <w:r>
        <w:rPr>
          <w:rFonts w:ascii="Times New Roman" w:hAnsi="Times New Roman"/>
          <w:b w:val="0"/>
          <w:i w:val="0"/>
          <w:color w:val="132A31"/>
          <w:sz w:val="24"/>
        </w:rPr>
        <w:t>Future research and engineering extensions planned for the MedKnow ecosystem include:</w:t>
      </w:r>
    </w:p>
    <w:p>
      <w:pPr>
        <w:spacing w:after="120" w:line="276" w:lineRule="auto"/>
        <w:jc w:val="both"/>
      </w:pPr>
      <w:r>
        <w:rPr>
          <w:rFonts w:ascii="Times New Roman" w:hAnsi="Times New Roman"/>
          <w:b w:val="0"/>
          <w:i w:val="0"/>
          <w:color w:val="132A31"/>
          <w:sz w:val="24"/>
        </w:rPr>
        <w:t>1. FHIR &amp; HL7 Interoperability: Implementing Fast Healthcare Interoperability Resources (FHIR) REST APIs to dynamically pull patient lab values (e.g. Serum Creatinine, Blood Pressure) directly into medical calculators.</w:t>
      </w:r>
    </w:p>
    <w:p>
      <w:pPr>
        <w:spacing w:after="120" w:line="276" w:lineRule="auto"/>
        <w:jc w:val="both"/>
      </w:pPr>
      <w:r>
        <w:rPr>
          <w:rFonts w:ascii="Times New Roman" w:hAnsi="Times New Roman"/>
          <w:b w:val="0"/>
          <w:i w:val="0"/>
          <w:color w:val="132A31"/>
          <w:sz w:val="24"/>
        </w:rPr>
        <w:t>2. AI-Powered Clinical Protocol Synthesis: Integrating localized Large Language Model (LLM) agents to summarize lengthy clinical trial literature into concise, evidence-graded ward checklists.</w:t>
      </w:r>
    </w:p>
    <w:p>
      <w:pPr>
        <w:spacing w:after="120" w:line="276" w:lineRule="auto"/>
        <w:jc w:val="both"/>
      </w:pPr>
      <w:r>
        <w:rPr>
          <w:rFonts w:ascii="Times New Roman" w:hAnsi="Times New Roman"/>
          <w:b w:val="0"/>
          <w:i w:val="0"/>
          <w:color w:val="132A31"/>
          <w:sz w:val="24"/>
        </w:rPr>
        <w:t>3. Progressive Web App (PWA) Offline Sync: Implementing Service Workers and IndexedDB caching to enable full offline protocol access in deep basement emergency units and disaster response zones.</w:t>
      </w:r>
    </w:p>
    <w:p>
      <w:pPr>
        <w:spacing w:after="120" w:line="276" w:lineRule="auto"/>
        <w:jc w:val="both"/>
      </w:pPr>
      <w:r>
        <w:rPr>
          <w:rFonts w:ascii="Times New Roman" w:hAnsi="Times New Roman"/>
          <w:b w:val="0"/>
          <w:i w:val="0"/>
          <w:color w:val="132A31"/>
          <w:sz w:val="24"/>
        </w:rPr>
        <w:t>4. Multilingual Clinical Triage: Adding automated translation of emergency protocols into regional languages (e.g. Tamil, Hindi) to assist multi-lingual nursing staff across rural healthcare centers.</w:t>
      </w:r>
    </w:p>
    <w:p>
      <w:r>
        <w:br w:type="page"/>
      </w:r>
    </w:p>
    <w:p>
      <w:pPr>
        <w:keepNext/>
        <w:spacing w:before="320" w:after="160"/>
        <w:jc w:val="left"/>
      </w:pPr>
      <w:r>
        <w:rPr>
          <w:rFonts w:ascii="Times New Roman" w:hAnsi="Times New Roman"/>
          <w:b/>
          <w:color w:val="1F6F78"/>
          <w:sz w:val="28"/>
        </w:rPr>
        <w:t>REFERENCES</w:t>
      </w:r>
    </w:p>
    <w:p>
      <w:pPr>
        <w:spacing w:after="120" w:line="276" w:lineRule="auto"/>
        <w:jc w:val="both"/>
      </w:pPr>
      <w:r>
        <w:rPr>
          <w:rFonts w:ascii="Times New Roman" w:hAnsi="Times New Roman"/>
          <w:b w:val="0"/>
          <w:i w:val="0"/>
          <w:color w:val="132A31"/>
          <w:sz w:val="21"/>
        </w:rPr>
        <w:t>[1] I. Nonaka and H. Takeuchi, The Knowledge-Creating Company: How Japanese Companies Create the Dynamics of Innovation. Oxford University Press, 1995.</w:t>
      </w:r>
    </w:p>
    <w:p>
      <w:pPr>
        <w:spacing w:after="120" w:line="276" w:lineRule="auto"/>
        <w:jc w:val="both"/>
      </w:pPr>
      <w:r>
        <w:rPr>
          <w:rFonts w:ascii="Times New Roman" w:hAnsi="Times New Roman"/>
          <w:b w:val="0"/>
          <w:i w:val="0"/>
          <w:color w:val="132A31"/>
          <w:sz w:val="21"/>
        </w:rPr>
        <w:t>[2] K. M. Wiig, Knowledge Management Foundations: Thinking About Thinking - How People and Organizations Represent, Create, and Use Knowledge. Schema Press, 1993.</w:t>
      </w:r>
    </w:p>
    <w:p>
      <w:pPr>
        <w:spacing w:after="120" w:line="276" w:lineRule="auto"/>
        <w:jc w:val="both"/>
      </w:pPr>
      <w:r>
        <w:rPr>
          <w:rFonts w:ascii="Times New Roman" w:hAnsi="Times New Roman"/>
          <w:b w:val="0"/>
          <w:i w:val="0"/>
          <w:color w:val="132A31"/>
          <w:sz w:val="21"/>
        </w:rPr>
        <w:t>[3] M. W. McElroy, The New Knowledge Management: Complexity, Learning, and Sustainable Innovation. Butterworth-Heinemann, 2003.</w:t>
      </w:r>
    </w:p>
    <w:p>
      <w:pPr>
        <w:spacing w:after="120" w:line="276" w:lineRule="auto"/>
        <w:jc w:val="both"/>
      </w:pPr>
      <w:r>
        <w:rPr>
          <w:rFonts w:ascii="Times New Roman" w:hAnsi="Times New Roman"/>
          <w:b w:val="0"/>
          <w:i w:val="0"/>
          <w:color w:val="132A31"/>
          <w:sz w:val="21"/>
        </w:rPr>
        <w:t>[4] R. A. Greenes, Clinical Decision Support: The Road to Broad Adoption. Academic Press, Elsevier, 2nd ed., 2014.</w:t>
      </w:r>
    </w:p>
    <w:p>
      <w:pPr>
        <w:spacing w:after="120" w:line="276" w:lineRule="auto"/>
        <w:jc w:val="both"/>
      </w:pPr>
      <w:r>
        <w:rPr>
          <w:rFonts w:ascii="Times New Roman" w:hAnsi="Times New Roman"/>
          <w:b w:val="0"/>
          <w:i w:val="0"/>
          <w:color w:val="132A31"/>
          <w:sz w:val="21"/>
        </w:rPr>
        <w:t>[5] D. F. Sittig, A. Wright, J. A. Osheroff, et al., "Grand challenges in clinical decision support," Journal of Biomedical Informatics, vol. 41, no. 2, pp. 387–392, 2018.</w:t>
      </w:r>
    </w:p>
    <w:p>
      <w:pPr>
        <w:spacing w:after="120" w:line="276" w:lineRule="auto"/>
        <w:jc w:val="both"/>
      </w:pPr>
      <w:r>
        <w:rPr>
          <w:rFonts w:ascii="Times New Roman" w:hAnsi="Times New Roman"/>
          <w:b w:val="0"/>
          <w:i w:val="0"/>
          <w:color w:val="132A31"/>
          <w:sz w:val="21"/>
        </w:rPr>
        <w:t>[6] C. W. Seymour, V. X. Liu, T. J. Iwashyna, et al., "Assessment of Clinical Criteria for Sepsis: For the Third International Consensus Definitions for Sepsis and Septic Shock (Sepsis-3)," JAMA, vol. 315, no. 8, pp. 762–774, 2016.</w:t>
      </w:r>
    </w:p>
    <w:p>
      <w:pPr>
        <w:spacing w:after="120" w:line="276" w:lineRule="auto"/>
        <w:jc w:val="both"/>
      </w:pPr>
      <w:r>
        <w:rPr>
          <w:rFonts w:ascii="Times New Roman" w:hAnsi="Times New Roman"/>
          <w:b w:val="0"/>
          <w:i w:val="0"/>
          <w:color w:val="132A31"/>
          <w:sz w:val="21"/>
        </w:rPr>
        <w:t>[7] D. W. Cockcroft and M. H. Gault, "Prediction of creatinine clearance from serum creatinine," Nephron, vol. 16, no. 1, pp. 31–41, 1976.</w:t>
      </w:r>
    </w:p>
    <w:p>
      <w:pPr>
        <w:spacing w:after="120" w:line="276" w:lineRule="auto"/>
        <w:jc w:val="both"/>
      </w:pPr>
      <w:r>
        <w:rPr>
          <w:rFonts w:ascii="Times New Roman" w:hAnsi="Times New Roman"/>
          <w:b w:val="0"/>
          <w:i w:val="0"/>
          <w:color w:val="132A31"/>
          <w:sz w:val="21"/>
        </w:rPr>
        <w:t>[8] B. J. Devine, "Gentamicin therapy," Drug Intelligence &amp; Clinical Pharmacy, vol. 8, pp. 650–655, 1974.</w:t>
      </w:r>
    </w:p>
    <w:p>
      <w:pPr>
        <w:spacing w:after="120" w:line="276" w:lineRule="auto"/>
        <w:jc w:val="both"/>
      </w:pPr>
      <w:r>
        <w:rPr>
          <w:rFonts w:ascii="Times New Roman" w:hAnsi="Times New Roman"/>
          <w:b w:val="0"/>
          <w:i w:val="0"/>
          <w:color w:val="132A31"/>
          <w:sz w:val="21"/>
        </w:rPr>
        <w:t>[9] V. Apgar, "A proposal for a new method of evaluation of the newborn infant," Current Researches in Anesthesia &amp; Analgesia, vol. 32, no. 4, pp. 260–267, 1953.</w:t>
      </w:r>
    </w:p>
    <w:p>
      <w:pPr>
        <w:spacing w:after="120" w:line="276" w:lineRule="auto"/>
        <w:jc w:val="both"/>
      </w:pPr>
      <w:r>
        <w:rPr>
          <w:rFonts w:ascii="Times New Roman" w:hAnsi="Times New Roman"/>
          <w:b w:val="0"/>
          <w:i w:val="0"/>
          <w:color w:val="132A31"/>
          <w:sz w:val="21"/>
        </w:rPr>
        <w:t>[10] L. Evans, A. Rhodes, W. Alhazzani, et al., "Surviving Sepsis Campaign: International Guidelines for Management of Sepsis and Septic Shock 2021," Critical Care Medicine, vol. 49, no. 11, pp. e1063–e1143, 2021.</w:t>
      </w:r>
    </w:p>
    <w:p>
      <w:pPr>
        <w:spacing w:after="120" w:line="276" w:lineRule="auto"/>
        <w:jc w:val="both"/>
      </w:pPr>
      <w:r>
        <w:rPr>
          <w:rFonts w:ascii="Times New Roman" w:hAnsi="Times New Roman"/>
          <w:b w:val="0"/>
          <w:i w:val="0"/>
          <w:color w:val="132A31"/>
          <w:sz w:val="21"/>
        </w:rPr>
        <w:t>[11] American Diabetes Association, "Standards of Care in Diabetes—2024," Diabetes Care, vol. 47, suppl. 1, pp. S1–S345, 2024.</w:t>
      </w:r>
    </w:p>
    <w:p>
      <w:pPr>
        <w:spacing w:after="120" w:line="276" w:lineRule="auto"/>
        <w:jc w:val="both"/>
      </w:pPr>
      <w:r>
        <w:rPr>
          <w:rFonts w:ascii="Times New Roman" w:hAnsi="Times New Roman"/>
          <w:b w:val="0"/>
          <w:i w:val="0"/>
          <w:color w:val="132A31"/>
          <w:sz w:val="21"/>
        </w:rPr>
        <w:t>[12] W. J. Powers, A. A. Rabinstein, T. Ackerson, et al., "Guidelines for the Early Management of Patients With Acute Ischemic Stroke: 2019 Update," Stroke, vol. 50, no. 12, pp. e344–e418, 2019.</w:t>
      </w:r>
    </w:p>
    <w:p>
      <w:pPr>
        <w:spacing w:after="120" w:line="276" w:lineRule="auto"/>
        <w:jc w:val="both"/>
      </w:pPr>
      <w:r>
        <w:rPr>
          <w:rFonts w:ascii="Times New Roman" w:hAnsi="Times New Roman"/>
          <w:b w:val="0"/>
          <w:i w:val="0"/>
          <w:color w:val="132A31"/>
          <w:sz w:val="21"/>
        </w:rPr>
        <w:t>[13] World Health Organization, "Patient Safety Solutions: Communication During Patient Hand-Overs," WHO Technical Report Series, Geneva, 2020.</w:t>
      </w:r>
    </w:p>
    <w:p>
      <w:pPr>
        <w:spacing w:after="120" w:line="276" w:lineRule="auto"/>
        <w:jc w:val="both"/>
      </w:pPr>
      <w:r>
        <w:rPr>
          <w:rFonts w:ascii="Times New Roman" w:hAnsi="Times New Roman"/>
          <w:b w:val="0"/>
          <w:i w:val="0"/>
          <w:color w:val="132A31"/>
          <w:sz w:val="21"/>
        </w:rPr>
        <w:t>[14] M. Grinberg, Flask Web Development: Developing Web Applications with Python. O'Reilly Media, 2nd ed., 2018.</w:t>
      </w:r>
    </w:p>
    <w:p>
      <w:pPr>
        <w:spacing w:after="120" w:line="276" w:lineRule="auto"/>
        <w:jc w:val="both"/>
      </w:pPr>
      <w:r>
        <w:rPr>
          <w:rFonts w:ascii="Times New Roman" w:hAnsi="Times New Roman"/>
          <w:b w:val="0"/>
          <w:i w:val="0"/>
          <w:color w:val="132A31"/>
          <w:sz w:val="21"/>
        </w:rPr>
        <w:t>[15] M. Fowler, Patterns of Enterprise Application Architecture. Addison-Wesley Professional, 2002.</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5C6E73"/>
        <w:sz w:val="17"/>
      </w:rPr>
      <w:t>Anjalai Ammal - Mahalingam Engineering College | Final Year B.E. CSE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C6E73"/>
        <w:sz w:val="17"/>
      </w:rPr>
      <w:t>MedKnow: Healthcare Knowledge Management Platform | Dept. of CSE, AAMEC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32A3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