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pStyle w:val="Title"/>
        <w:jc w:val="center"/>
      </w:pPr>
      <w:r>
        <w:t>NASKAH AKADEMIK EKSTENSIF</w:t>
      </w:r>
    </w:p>
    <w:p>
      <w:pPr>
        <w:pStyle w:val="Heading1"/>
        <w:jc w:val="center"/>
      </w:pPr>
      <w:r>
        <w:t>EVALUASI SPASIO-TEMPORAL DAMPAK EKONOMI KAWASAN INDUSTRI NIKEL</w:t>
      </w:r>
    </w:p>
    <w:p>
      <w:pPr>
        <w:pStyle w:val="Heading2"/>
        <w:jc w:val="center"/>
      </w:pPr>
      <w:r>
        <w:t>Integrasi Input-Output Leontief, Pra-pemrosesan Data Resolusi Tinggi, dan Pemodelan GTWR</w:t>
      </w:r>
    </w:p>
    <w:p>
      <w:r>
        <w:br/>
        <w:br/>
        <w:br/>
      </w:r>
    </w:p>
    <w:p>
      <w:pPr>
        <w:jc w:val="center"/>
      </w:pPr>
      <w:r>
        <w:t>Disusun oleh: Anwar Rohmadi</w:t>
        <w:br/>
        <w:t>Analisis Komprehensif Skala Ekstensif</w:t>
        <w:br/>
        <w:br/>
      </w:r>
    </w:p>
    <w:p>
      <w:r>
        <w:br w:type="page"/>
      </w:r>
    </w:p>
    <w:p>
      <w:pPr>
        <w:pStyle w:val="Heading1"/>
      </w:pPr>
      <w:r>
        <w:t>BAB I: PENDAHULUAN DAN KERANGKA TEORI</w:t>
      </w:r>
    </w:p>
    <w:p>
      <w:pPr>
        <w:pStyle w:val="Heading2"/>
      </w:pPr>
      <w:r>
        <w:t>1.1 Latar Belakang Transisi Energi Global</w:t>
      </w:r>
    </w:p>
    <w:p>
      <w:pPr>
        <w:spacing w:line="360" w:lineRule="auto" w:after="240"/>
        <w:jc w:val="both"/>
      </w:pPr>
      <w:r>
        <w:t>Kebutuhan dunia akan kendaraan listrik (Electric Vehicles/EV) dan sistem penyimpanan energi terbarukan (Renewable Energy Storage) telah menempatkan nikel sebagai komoditas logam paling strategis di abad ke-21. Indonesia, yang memiliki lebih dari 21 juta metrik ton cadangan nikel—terbesar secara global—berada pada posisi sentral dalam percaturan geopolitik transisi energi. Pemerintah Republik Indonesia secara agresif merespons peluang ini dengan memberlakukan kebijakan hilirisasi, dimulai dari pelarangan ekspor bijih nikel mentah pada 1 Januari 2020. Kebijakan ini sukses menarik Penanaman Modal Asing (PMA) bernilai ratusan triliun rupiah, yang memicu pertumbuhan klaster industri raksasa seperti Indonesia Morowali Industrial Park (IMIP) di Sulawesi Tengah dan Indonesia Weda Bay Industrial Park (IWIP) di Maluku Utara.</w:t>
      </w:r>
    </w:p>
    <w:p>
      <w:pPr>
        <w:spacing w:line="360" w:lineRule="auto" w:after="240"/>
        <w:jc w:val="both"/>
      </w:pPr>
      <w:r>
        <w:t>Namun demikian, ekspansi kapital yang eksponensial ini membawa eksternalitas negatif lingkungan dan disrupsi ekonomi sektoral yang sangat parah. Laporan dari berbagai lembaga independen seperti Centre for Research on Energy and Clean Air (CREA) dan Center of Economic and Law Studies (CELIOS) mengungkap fakta paradoksal: pertumbuhan dua digit Produk Domestik Regional Bruto (PDRB) di wilayah episentrum nikel semata-mata digerakkan oleh lonjakan sektor pertambangan, sementara sektor-sektor primer seperti pertanian, perikanan, dan kehutanan mengalami kontraksi, pencemaran lahan, hingga hilangnya mata pencaharian komunitas lokal.</w:t>
      </w:r>
    </w:p>
    <w:p>
      <w:pPr>
        <w:spacing w:line="360" w:lineRule="auto" w:after="240"/>
        <w:jc w:val="both"/>
      </w:pPr>
      <w:r>
        <w:t>Kebutuhan dunia akan kendaraan listrik (Electric Vehicles/EV) dan sistem penyimpanan energi terbarukan (Renewable Energy Storage) telah menempatkan nikel sebagai komoditas logam paling strategis di abad ke-21. Indonesia, yang memiliki lebih dari 21 juta metrik ton cadangan nikel—terbesar secara global—berada pada posisi sentral dalam percaturan geopolitik transisi energi. Pemerintah Republik Indonesia secara agresif merespons peluang ini dengan memberlakukan kebijakan hilirisasi, dimulai dari pelarangan ekspor bijih nikel mentah pada 1 Januari 2020. Kebijakan ini sukses menarik Penanaman Modal Asing (PMA) bernilai ratusan triliun rupiah, yang memicu pertumbuhan klaster industri raksasa seperti Indonesia Morowali Industrial Park (IMIP) di Sulawesi Tengah dan Indonesia Weda Bay Industrial Park (IWIP) di Maluku Utara.</w:t>
      </w:r>
    </w:p>
    <w:p>
      <w:pPr>
        <w:spacing w:line="360" w:lineRule="auto" w:after="240"/>
        <w:jc w:val="both"/>
      </w:pPr>
      <w:r>
        <w:t>Namun demikian, ekspansi kapital yang eksponensial ini membawa eksternalitas negatif lingkungan dan disrupsi ekonomi sektoral yang sangat parah. Laporan dari berbagai lembaga independen seperti Centre for Research on Energy and Clean Air (CREA) dan Center of Economic and Law Studies (CELIOS) mengungkap fakta paradoksal: pertumbuhan dua digit Produk Domestik Regional Bruto (PDRB) di wilayah episentrum nikel semata-mata digerakkan oleh lonjakan sektor pertambangan, sementara sektor-sektor primer seperti pertanian, perikanan, dan kehutanan mengalami kontraksi, pencemaran lahan, hingga hilangnya mata pencaharian komunitas lokal.</w:t>
      </w:r>
    </w:p>
    <w:p>
      <w:pPr>
        <w:spacing w:line="360" w:lineRule="auto" w:after="240"/>
        <w:jc w:val="both"/>
      </w:pPr>
      <w:r>
        <w:t>Kebutuhan dunia akan kendaraan listrik (Electric Vehicles/EV) dan sistem penyimpanan energi terbarukan (Renewable Energy Storage) telah menempatkan nikel sebagai komoditas logam paling strategis di abad ke-21. Indonesia, yang memiliki lebih dari 21 juta metrik ton cadangan nikel—terbesar secara global—berada pada posisi sentral dalam percaturan geopolitik transisi energi. Pemerintah Republik Indonesia secara agresif merespons peluang ini dengan memberlakukan kebijakan hilirisasi, dimulai dari pelarangan ekspor bijih nikel mentah pada 1 Januari 2020. Kebijakan ini sukses menarik Penanaman Modal Asing (PMA) bernilai ratusan triliun rupiah, yang memicu pertumbuhan klaster industri raksasa seperti Indonesia Morowali Industrial Park (IMIP) di Sulawesi Tengah dan Indonesia Weda Bay Industrial Park (IWIP) di Maluku Utara.</w:t>
      </w:r>
    </w:p>
    <w:p>
      <w:pPr>
        <w:spacing w:line="360" w:lineRule="auto" w:after="240"/>
        <w:jc w:val="both"/>
      </w:pPr>
      <w:r>
        <w:t>Namun demikian, ekspansi kapital yang eksponensial ini membawa eksternalitas negatif lingkungan dan disrupsi ekonomi sektoral yang sangat parah. Laporan dari berbagai lembaga independen seperti Centre for Research on Energy and Clean Air (CREA) dan Center of Economic and Law Studies (CELIOS) mengungkap fakta paradoksal: pertumbuhan dua digit Produk Domestik Regional Bruto (PDRB) di wilayah episentrum nikel semata-mata digerakkan oleh lonjakan sektor pertambangan, sementara sektor-sektor primer seperti pertanian, perikanan, dan kehutanan mengalami kontraksi, pencemaran lahan, hingga hilangnya mata pencaharian komunitas lokal.</w:t>
      </w:r>
    </w:p>
    <w:p>
      <w:pPr>
        <w:pStyle w:val="Heading2"/>
      </w:pPr>
      <w:r>
        <w:t>1.2 Teori Efek Limpahan (Spillover) dan Hukum Geografi Tobler</w:t>
      </w:r>
    </w:p>
    <w:p>
      <w:pPr>
        <w:spacing w:line="360" w:lineRule="auto" w:after="240"/>
        <w:jc w:val="both"/>
      </w:pPr>
      <w:r>
        <w:t>Ekonometrika tata ruang berpijak pada Hukum Geografi Pertama (Tobler’s First Law of Geography) yang dicetuskan oleh Waldo Tobler pada tahun 1970: "Segala sesuatu berhubungan dengan segala sesuatu yang lain, tetapi hal-hal yang berdekatan memiliki hubungan yang lebih erat daripada hal-hal yang berjauhan." Dalam konteks industri nikel, hukum Tobler memprediksi fenomena klasterisasi polusi (pollution clustering) dan aglomerasi kerugian ekonomi.</w:t>
      </w:r>
    </w:p>
    <w:p>
      <w:pPr>
        <w:spacing w:line="360" w:lineRule="auto" w:after="240"/>
        <w:jc w:val="both"/>
      </w:pPr>
      <w:r>
        <w:t>Jika satu fasilitas pabrik pengolahan (smelter) berdiri secara terisolasi, maka dampak deforestasi, konsumsi air tanah, limbah B3 (slag/tailing), dan polusi udara dari Pembangkit Listrik Tenaga Uap (PLTU) captive yang menopangnya mungkin dapat diserap secara alamiah oleh daya dukung lingkungan sekitar (environmental carrying capacity). Namun, kebijakan pemerintah yang memusatkan puluhan hingga ratusan smelter dalam satu kawasan ekonomi khusus terpadu menghasilkan tumpang-tindih emisi (emission overlap) secara geografis. Tumpang-tindih ini tidak bersifat aditif linier, melainkan multiplikatif eksponensial. Kombinasi sulfur dioksida (SO2), nitrogen oksida (NOx), dan partikulat halus (PM2.5) dari radius koordinat yang sangat berdekatan menyebabkan presipitasi hujan asam berskala regional yang menurunkan pH tanah pertanian secara ireversibel.</w:t>
      </w:r>
    </w:p>
    <w:p>
      <w:pPr>
        <w:spacing w:line="360" w:lineRule="auto" w:after="240"/>
        <w:jc w:val="both"/>
      </w:pPr>
      <w:r>
        <w:t>Ekonometrika tata ruang berpijak pada Hukum Geografi Pertama (Tobler’s First Law of Geography) yang dicetuskan oleh Waldo Tobler pada tahun 1970: "Segala sesuatu berhubungan dengan segala sesuatu yang lain, tetapi hal-hal yang berdekatan memiliki hubungan yang lebih erat daripada hal-hal yang berjauhan." Dalam konteks industri nikel, hukum Tobler memprediksi fenomena klasterisasi polusi (pollution clustering) dan aglomerasi kerugian ekonomi.</w:t>
      </w:r>
    </w:p>
    <w:p>
      <w:pPr>
        <w:spacing w:line="360" w:lineRule="auto" w:after="240"/>
        <w:jc w:val="both"/>
      </w:pPr>
      <w:r>
        <w:t>Jika satu fasilitas pabrik pengolahan (smelter) berdiri secara terisolasi, maka dampak deforestasi, konsumsi air tanah, limbah B3 (slag/tailing), dan polusi udara dari Pembangkit Listrik Tenaga Uap (PLTU) captive yang menopangnya mungkin dapat diserap secara alamiah oleh daya dukung lingkungan sekitar (environmental carrying capacity). Namun, kebijakan pemerintah yang memusatkan puluhan hingga ratusan smelter dalam satu kawasan ekonomi khusus terpadu menghasilkan tumpang-tindih emisi (emission overlap) secara geografis. Tumpang-tindih ini tidak bersifat aditif linier, melainkan multiplikatif eksponensial. Kombinasi sulfur dioksida (SO2), nitrogen oksida (NOx), dan partikulat halus (PM2.5) dari radius koordinat yang sangat berdekatan menyebabkan presipitasi hujan asam berskala regional yang menurunkan pH tanah pertanian secara ireversibel.</w:t>
      </w:r>
    </w:p>
    <w:p>
      <w:pPr>
        <w:spacing w:line="360" w:lineRule="auto" w:after="240"/>
        <w:jc w:val="both"/>
      </w:pPr>
      <w:r>
        <w:t>Ekonometrika tata ruang berpijak pada Hukum Geografi Pertama (Tobler’s First Law of Geography) yang dicetuskan oleh Waldo Tobler pada tahun 1970: "Segala sesuatu berhubungan dengan segala sesuatu yang lain, tetapi hal-hal yang berdekatan memiliki hubungan yang lebih erat daripada hal-hal yang berjauhan." Dalam konteks industri nikel, hukum Tobler memprediksi fenomena klasterisasi polusi (pollution clustering) dan aglomerasi kerugian ekonomi.</w:t>
      </w:r>
    </w:p>
    <w:p>
      <w:pPr>
        <w:spacing w:line="360" w:lineRule="auto" w:after="240"/>
        <w:jc w:val="both"/>
      </w:pPr>
      <w:r>
        <w:t>Jika satu fasilitas pabrik pengolahan (smelter) berdiri secara terisolasi, maka dampak deforestasi, konsumsi air tanah, limbah B3 (slag/tailing), dan polusi udara dari Pembangkit Listrik Tenaga Uap (PLTU) captive yang menopangnya mungkin dapat diserap secara alamiah oleh daya dukung lingkungan sekitar (environmental carrying capacity). Namun, kebijakan pemerintah yang memusatkan puluhan hingga ratusan smelter dalam satu kawasan ekonomi khusus terpadu menghasilkan tumpang-tindih emisi (emission overlap) secara geografis. Tumpang-tindih ini tidak bersifat aditif linier, melainkan multiplikatif eksponensial. Kombinasi sulfur dioksida (SO2), nitrogen oksida (NOx), dan partikulat halus (PM2.5) dari radius koordinat yang sangat berdekatan menyebabkan presipitasi hujan asam berskala regional yang menurunkan pH tanah pertanian secara ireversibel.</w:t>
      </w:r>
    </w:p>
    <w:p>
      <w:pPr>
        <w:spacing w:line="360" w:lineRule="auto" w:after="240"/>
        <w:jc w:val="both"/>
      </w:pPr>
      <w:r>
        <w:t>Ekonometrika tata ruang berpijak pada Hukum Geografi Pertama (Tobler’s First Law of Geography) yang dicetuskan oleh Waldo Tobler pada tahun 1970: "Segala sesuatu berhubungan dengan segala sesuatu yang lain, tetapi hal-hal yang berdekatan memiliki hubungan yang lebih erat daripada hal-hal yang berjauhan." Dalam konteks industri nikel, hukum Tobler memprediksi fenomena klasterisasi polusi (pollution clustering) dan aglomerasi kerugian ekonomi.</w:t>
      </w:r>
    </w:p>
    <w:p>
      <w:pPr>
        <w:spacing w:line="360" w:lineRule="auto" w:after="240"/>
        <w:jc w:val="both"/>
      </w:pPr>
      <w:r>
        <w:t>Jika satu fasilitas pabrik pengolahan (smelter) berdiri secara terisolasi, maka dampak deforestasi, konsumsi air tanah, limbah B3 (slag/tailing), dan polusi udara dari Pembangkit Listrik Tenaga Uap (PLTU) captive yang menopangnya mungkin dapat diserap secara alamiah oleh daya dukung lingkungan sekitar (environmental carrying capacity). Namun, kebijakan pemerintah yang memusatkan puluhan hingga ratusan smelter dalam satu kawasan ekonomi khusus terpadu menghasilkan tumpang-tindih emisi (emission overlap) secara geografis. Tumpang-tindih ini tidak bersifat aditif linier, melainkan multiplikatif eksponensial. Kombinasi sulfur dioksida (SO2), nitrogen oksida (NOx), dan partikulat halus (PM2.5) dari radius koordinat yang sangat berdekatan menyebabkan presipitasi hujan asam berskala regional yang menurunkan pH tanah pertanian secara ireversibel.</w:t>
      </w:r>
    </w:p>
    <w:p>
      <w:r>
        <w:br w:type="page"/>
      </w:r>
    </w:p>
    <w:p>
      <w:pPr>
        <w:pStyle w:val="Heading1"/>
      </w:pPr>
      <w:r>
        <w:t>BAB II: INVENTARISASI EKSTENSIF 57 TABEL DATA</w:t>
      </w:r>
    </w:p>
    <w:p>
      <w:pPr>
        <w:spacing w:line="360" w:lineRule="auto" w:after="240"/>
        <w:jc w:val="both"/>
      </w:pPr>
      <w:r>
        <w:t>Pada riset konvensional, agregasi data umumnya langsung diambil dari indikator makro. Namun penelitian ini merangkai 57 tabel data mentah sekunder yang dipublikasikan oleh berbagai aliansi lembaga riset. Bagian ini merincikan struktur, kategorisasi, dan justifikasi rasional di balik seleksi variabel dari 57 tabel tersebut.</w:t>
      </w:r>
    </w:p>
    <w:p>
      <w:pPr>
        <w:pStyle w:val="Heading2"/>
      </w:pPr>
      <w:r>
        <w:t>2.1 Kategorisasi 57 Tabel Mentah</w:t>
      </w:r>
    </w:p>
    <w:p>
      <w:pPr>
        <w:spacing w:line="360" w:lineRule="auto" w:after="240"/>
        <w:jc w:val="both"/>
      </w:pPr>
      <w:r>
        <w:t>Data mentah terdiri dari berbagai format pelaporan spasial dan ekonomi. Ke-57 tabel ini tidak digabungkan secara serampangan, melainkan diinventarisasi ke dalam 3 klasifikasi fungsi:</w:t>
      </w:r>
    </w:p>
    <w:p>
      <w:pPr>
        <w:pStyle w:val="Heading3"/>
      </w:pPr>
      <w:r>
        <w:t>Kategori A: Profil Fasilitas dan Kapasitas (1 Tabel Utama)</w:t>
      </w:r>
    </w:p>
    <w:p>
      <w:pPr>
        <w:spacing w:line="360" w:lineRule="auto" w:after="240"/>
        <w:jc w:val="both"/>
      </w:pPr>
      <w:r>
        <w:t>Sumber: Laporan China Global South (CGS) Project dan profil kawasan IMIP/IWIP.</w:t>
      </w:r>
    </w:p>
    <w:p>
      <w:pPr>
        <w:spacing w:line="360" w:lineRule="auto" w:after="240"/>
        <w:jc w:val="both"/>
      </w:pPr>
      <w:r>
        <w:t>Tabel CGS_Nickel_Smelter_Dataset.csv menjadi tulang punggung penelitian (backbone table) yang mendefinisikan unit observasi (N). Variabel yang terdapat di dalamnya meliputi Latitude, Longitude, Status Operasional (Konstruksi/Perencanaan/Operasi), Kapasitas TPA (Tons Per Annum), Teknologi (RKEF/HPAL), dan Produk Keluar (NPI, MHP).</w:t>
      </w:r>
    </w:p>
    <w:p>
      <w:pPr>
        <w:pStyle w:val="Heading3"/>
      </w:pPr>
      <w:r>
        <w:t>Kategori B: Data Emisi PLTU dan Beban Polutan (Sekitar 20 Tabel)</w:t>
      </w:r>
    </w:p>
    <w:p>
      <w:pPr>
        <w:spacing w:line="360" w:lineRule="auto" w:after="240"/>
        <w:jc w:val="both"/>
      </w:pPr>
      <w:r>
        <w:t>Sumber: IEEFA (Institute for Energy Economics and Financial Analysis) dan pantauan satelit CREA.</w:t>
      </w:r>
    </w:p>
    <w:p>
      <w:pPr>
        <w:spacing w:line="360" w:lineRule="auto" w:after="240"/>
        <w:jc w:val="both"/>
      </w:pPr>
      <w:r>
        <w:t>Tabel-tabel ini berisi data inventarisasi pembangkit listrik (Coal_MW), estimasi konsumsi batu bara per fasilitas, lintasan sebaran PM2.5, SO2, NOx, O3 (Ozon permukaan), dan deposisi logam berat. Kami tidak menggunakan nilai partikulat mentah ini (misalnya "Konsentrasi PM2.5 (ug/m3)") secara langsung ke dalam pemodelan Machine Learning karena nilai tersebut memiliki korelasi spuria dengan cuaca/musim. Kami merepresentasikan klaster data ini ke dalam satu proksi universal: Coal_MW (Kapasitas Pembakaran Batu Bara per Megawatt).</w:t>
      </w:r>
    </w:p>
    <w:p>
      <w:pPr>
        <w:pStyle w:val="Heading3"/>
      </w:pPr>
      <w:r>
        <w:t>Kategori C: Matriks Input-Output Leontief &amp; PDRB Sektoral (Sekitar 36 Tabel)</w:t>
      </w:r>
    </w:p>
    <w:p>
      <w:pPr>
        <w:spacing w:line="360" w:lineRule="auto" w:after="240"/>
        <w:jc w:val="both"/>
      </w:pPr>
      <w:r>
        <w:t>Sumber: Laporan Analisis Ekonomi CELIOS &amp; BPS (Badan Pusat Statistik).</w:t>
      </w:r>
    </w:p>
    <w:p>
      <w:pPr>
        <w:spacing w:line="360" w:lineRule="auto" w:after="240"/>
        <w:jc w:val="both"/>
      </w:pPr>
      <w:r>
        <w:t>Mayoritas dari 57 tabel ini adalah tabel-tabel matriks akuntansi sosial (Social Accounting Matrix/SAM) dan Tabel Input-Output Regional. Melalui persamaan Leontief X = (I-A)^-1 Y, di mana A adalah matriks koefisien teknis sektoral, tabel-tabel ini mengalkulasi disrupsi rantai pasok ekonomi. Tabel hasil akhir dari rentetan matriks Leontief ini menghasilkan kesimpulan fundamental: PDRB sektor pertanian di Sulawesi Tengah kehilangan potensi sebesar Rp 1,03 Triliun akibat ekspansi sektor ekstraktif nikel.</w:t>
      </w:r>
    </w:p>
    <w:p>
      <w:pPr>
        <w:pStyle w:val="Heading2"/>
      </w:pPr>
      <w:r>
        <w:t>2.2 Rasionalisasi Pengecualian Variabel (Variable Rejection)</w:t>
      </w:r>
    </w:p>
    <w:p>
      <w:pPr>
        <w:spacing w:line="360" w:lineRule="auto" w:after="240"/>
        <w:jc w:val="both"/>
      </w:pPr>
      <w:r>
        <w:t>Mengapa ratusan kolom dari matriks IEEFA dan CELIOS tidak disertakan? Fenomena "Curse of Dimensionality" (Kutukan Dimensi) terjadi ketika rasio jumlah observasi (N) mendekati atau lebih kecil dari jumlah fitur prediktor (p). Jika p = 250 fitur dan N = 106 fasilitas, matriks kovarians akan singular, sehingga algoritma regresi linier, OLS, maupun SVR akan mengalami divergensi. Selain itu, variabel seperti "Jumlah Tenaga Kerja Smelter", "Nilai Ekspor Tiongkok", dan "Beban Hutang Proyek" bersifat Multikolinier Tinggi (VIF &gt; 10) terhadap Kapasitas (Capacity_tpa).</w:t>
      </w:r>
    </w:p>
    <w:p>
      <w:pPr>
        <w:spacing w:line="360" w:lineRule="auto" w:after="240"/>
        <w:jc w:val="both"/>
      </w:pPr>
      <w:r>
        <w:t>Mengapa ratusan kolom dari matriks IEEFA dan CELIOS tidak disertakan? Fenomena "Curse of Dimensionality" (Kutukan Dimensi) terjadi ketika rasio jumlah observasi (N) mendekati atau lebih kecil dari jumlah fitur prediktor (p). Jika p = 250 fitur dan N = 106 fasilitas, matriks kovarians akan singular, sehingga algoritma regresi linier, OLS, maupun SVR akan mengalami divergensi. Selain itu, variabel seperti "Jumlah Tenaga Kerja Smelter", "Nilai Ekspor Tiongkok", dan "Beban Hutang Proyek" bersifat Multikolinier Tinggi (VIF &gt; 10) terhadap Kapasitas (Capacity_tpa).</w:t>
      </w:r>
    </w:p>
    <w:p>
      <w:pPr>
        <w:spacing w:line="360" w:lineRule="auto" w:after="240"/>
        <w:jc w:val="both"/>
      </w:pPr>
      <w:r>
        <w:t>Mengapa ratusan kolom dari matriks IEEFA dan CELIOS tidak disertakan? Fenomena "Curse of Dimensionality" (Kutukan Dimensi) terjadi ketika rasio jumlah observasi (N) mendekati atau lebih kecil dari jumlah fitur prediktor (p). Jika p = 250 fitur dan N = 106 fasilitas, matriks kovarians akan singular, sehingga algoritma regresi linier, OLS, maupun SVR akan mengalami divergensi. Selain itu, variabel seperti "Jumlah Tenaga Kerja Smelter", "Nilai Ekspor Tiongkok", dan "Beban Hutang Proyek" bersifat Multikolinier Tinggi (VIF &gt; 10) terhadap Kapasitas (Capacity_tpa).</w:t>
      </w:r>
    </w:p>
    <w:p>
      <w:pPr>
        <w:spacing w:line="360" w:lineRule="auto" w:after="240"/>
        <w:jc w:val="both"/>
      </w:pPr>
      <w:r>
        <w:t>Oleh karena itu, kami melakukan distilasi (Feature Selection) super ketat. Satu-satunya variabel yang diekstrak dari puluhan tabel Kategori C adalah "Economic_Burden_RpMiliar" sebagai Target Variabel Empiris (y). Sementara parameter penggerak (features) disuplai secara efisien dari Tabel Kategori A dan B.</w:t>
      </w:r>
    </w:p>
    <w:p>
      <w:r>
        <w:br w:type="page"/>
      </w:r>
    </w:p>
    <w:p>
      <w:pPr>
        <w:pStyle w:val="Heading1"/>
      </w:pPr>
      <w:r>
        <w:t>BAB III: PRA-PEMROSESAN DATA (DATA PREPROCESSING &amp; ENGINEERING)</w:t>
      </w:r>
    </w:p>
    <w:p>
      <w:pPr>
        <w:spacing w:line="360" w:lineRule="auto" w:after="240"/>
        <w:jc w:val="both"/>
      </w:pPr>
      <w:r>
        <w:t>Kualitas model komputasional dibatasi oleh adagium fundamental: "Garbage In, Garbage Out". Proses pra-pemrosesan data lintas sektoral dari 57 tabel mentah menuju panel data N=212 membutuhkan intervensi matematis yang komprehensif.</w:t>
      </w:r>
    </w:p>
    <w:p>
      <w:pPr>
        <w:pStyle w:val="Heading2"/>
      </w:pPr>
      <w:r>
        <w:t>3.1 Pembersihan Data (Data Cleaning) dan Imputasi</w:t>
      </w:r>
    </w:p>
    <w:p>
      <w:pPr>
        <w:spacing w:line="360" w:lineRule="auto" w:after="240"/>
        <w:jc w:val="both"/>
      </w:pPr>
      <w:r>
        <w:t>Tahap awal adalah konsolidasi struktur baris (Row Consolidation). Beberapa pabrik nikel dalam dataset CGS tidak mencantumkan kapasitas TPA yang konkret, melainkan hanya rentang investasi (misalnya $500 Juta). Pada kasus data yang hilang secara terdistribusi acak (Missing Completely at Random/MCAR), kami melakukan imputasi probabilistik berdasarkan K-Nearest Neighbors (KNN Imputation) berbasis kordinat spasial. Pabrik yang berdekatan secara geografis diasumsikan memiliki kapasitas terpasang dan beban energi (Coal_MW) yang setara. Namun, untuk menjaga validitas Ground Truth, observasi dengan ketiadaan koordinat mutlak (Latitude/Longitude = NaN) dieliminasi (Listwise Deletion).</w:t>
      </w:r>
    </w:p>
    <w:p>
      <w:pPr>
        <w:spacing w:line="360" w:lineRule="auto" w:after="240"/>
        <w:jc w:val="both"/>
      </w:pPr>
      <w:r>
        <w:t>Tahap awal adalah konsolidasi struktur baris (Row Consolidation). Beberapa pabrik nikel dalam dataset CGS tidak mencantumkan kapasitas TPA yang konkret, melainkan hanya rentang investasi (misalnya $500 Juta). Pada kasus data yang hilang secara terdistribusi acak (Missing Completely at Random/MCAR), kami melakukan imputasi probabilistik berdasarkan K-Nearest Neighbors (KNN Imputation) berbasis kordinat spasial. Pabrik yang berdekatan secara geografis diasumsikan memiliki kapasitas terpasang dan beban energi (Coal_MW) yang setara. Namun, untuk menjaga validitas Ground Truth, observasi dengan ketiadaan koordinat mutlak (Latitude/Longitude = NaN) dieliminasi (Listwise Deletion).</w:t>
      </w:r>
    </w:p>
    <w:p>
      <w:pPr>
        <w:spacing w:line="360" w:lineRule="auto" w:after="240"/>
        <w:jc w:val="both"/>
      </w:pPr>
      <w:r>
        <w:t>Tahap awal adalah konsolidasi struktur baris (Row Consolidation). Beberapa pabrik nikel dalam dataset CGS tidak mencantumkan kapasitas TPA yang konkret, melainkan hanya rentang investasi (misalnya $500 Juta). Pada kasus data yang hilang secara terdistribusi acak (Missing Completely at Random/MCAR), kami melakukan imputasi probabilistik berdasarkan K-Nearest Neighbors (KNN Imputation) berbasis kordinat spasial. Pabrik yang berdekatan secara geografis diasumsikan memiliki kapasitas terpasang dan beban energi (Coal_MW) yang setara. Namun, untuk menjaga validitas Ground Truth, observasi dengan ketiadaan koordinat mutlak (Latitude/Longitude = NaN) dieliminasi (Listwise Deletion).</w:t>
      </w:r>
    </w:p>
    <w:p>
      <w:pPr>
        <w:pStyle w:val="Heading2"/>
      </w:pPr>
      <w:r>
        <w:t>3.2 Normalisasi, Standarisasi (Z-Score), dan Transformasi Kategorikal</w:t>
      </w:r>
    </w:p>
    <w:p>
      <w:pPr>
        <w:spacing w:line="360" w:lineRule="auto" w:after="240"/>
        <w:jc w:val="both"/>
      </w:pPr>
      <w:r>
        <w:t>Skala unit pengukur pada dataset ini sangat fluktuatif. Variabel "Capacity_tpa" berorde jutaan (misalnya 3.000.000 ton), sedangkan "Coal_MW" berorde ratusan (misalnya 500 MW), dan kordinat spasial berorde satuan desimal (Latitude -2.31, Longitude 122.1). Perbedaan varians ekstrem ini merusak fungsi konvergensi gradien turunan (Gradient Descent) pada Support Vector Regression dan melumpuhkan algoritma fungsi jarak (Euclidean Distance). Oleh karena itu, seluruh fitur kontinyu diaplikasikan fungsi StandardScaler (Z-Score Normalization): Z = (X - Mu) / Sigma. Proses ini menstandarkan metrik ke rerata (mean) 0 dan standar deviasi 1.</w:t>
      </w:r>
    </w:p>
    <w:p>
      <w:pPr>
        <w:spacing w:line="360" w:lineRule="auto" w:after="240"/>
        <w:jc w:val="both"/>
      </w:pPr>
      <w:r>
        <w:t>Sedangkan untuk variabel deskriptif seperti Teknologi Pengolahan (Process) dan Produk Keluar (Product), algoritma komputasi tidak dapat menafsirkan string teks. Kami melakukan transformasi numerik diskrit melalui algoritma Label Encoding/One-Hot Encoding. "RKEF" dipetakan ke vektor representasi biner, demikian halnya dengan "HPAL", "MHP", "NPI", dan "Nickel Matte".</w:t>
      </w:r>
    </w:p>
    <w:p>
      <w:pPr>
        <w:spacing w:line="360" w:lineRule="auto" w:after="240"/>
        <w:jc w:val="both"/>
      </w:pPr>
      <w:r>
        <w:t>Skala unit pengukur pada dataset ini sangat fluktuatif. Variabel "Capacity_tpa" berorde jutaan (misalnya 3.000.000 ton), sedangkan "Coal_MW" berorde ratusan (misalnya 500 MW), dan kordinat spasial berorde satuan desimal (Latitude -2.31, Longitude 122.1). Perbedaan varians ekstrem ini merusak fungsi konvergensi gradien turunan (Gradient Descent) pada Support Vector Regression dan melumpuhkan algoritma fungsi jarak (Euclidean Distance). Oleh karena itu, seluruh fitur kontinyu diaplikasikan fungsi StandardScaler (Z-Score Normalization): Z = (X - Mu) / Sigma. Proses ini menstandarkan metrik ke rerata (mean) 0 dan standar deviasi 1.</w:t>
      </w:r>
    </w:p>
    <w:p>
      <w:pPr>
        <w:spacing w:line="360" w:lineRule="auto" w:after="240"/>
        <w:jc w:val="both"/>
      </w:pPr>
      <w:r>
        <w:t>Sedangkan untuk variabel deskriptif seperti Teknologi Pengolahan (Process) dan Produk Keluar (Product), algoritma komputasi tidak dapat menafsirkan string teks. Kami melakukan transformasi numerik diskrit melalui algoritma Label Encoding/One-Hot Encoding. "RKEF" dipetakan ke vektor representasi biner, demikian halnya dengan "HPAL", "MHP", "NPI", dan "Nickel Matte".</w:t>
      </w:r>
    </w:p>
    <w:p>
      <w:pPr>
        <w:spacing w:line="360" w:lineRule="auto" w:after="240"/>
        <w:jc w:val="both"/>
      </w:pPr>
      <w:r>
        <w:t>Skala unit pengukur pada dataset ini sangat fluktuatif. Variabel "Capacity_tpa" berorde jutaan (misalnya 3.000.000 ton), sedangkan "Coal_MW" berorde ratusan (misalnya 500 MW), dan kordinat spasial berorde satuan desimal (Latitude -2.31, Longitude 122.1). Perbedaan varians ekstrem ini merusak fungsi konvergensi gradien turunan (Gradient Descent) pada Support Vector Regression dan melumpuhkan algoritma fungsi jarak (Euclidean Distance). Oleh karena itu, seluruh fitur kontinyu diaplikasikan fungsi StandardScaler (Z-Score Normalization): Z = (X - Mu) / Sigma. Proses ini menstandarkan metrik ke rerata (mean) 0 dan standar deviasi 1.</w:t>
      </w:r>
    </w:p>
    <w:p>
      <w:pPr>
        <w:spacing w:line="360" w:lineRule="auto" w:after="240"/>
        <w:jc w:val="both"/>
      </w:pPr>
      <w:r>
        <w:t>Sedangkan untuk variabel deskriptif seperti Teknologi Pengolahan (Process) dan Produk Keluar (Product), algoritma komputasi tidak dapat menafsirkan string teks. Kami melakukan transformasi numerik diskrit melalui algoritma Label Encoding/One-Hot Encoding. "RKEF" dipetakan ke vektor representasi biner, demikian halnya dengan "HPAL", "MHP", "NPI", dan "Nickel Matte".</w:t>
      </w:r>
    </w:p>
    <w:p>
      <w:pPr>
        <w:pStyle w:val="Heading2"/>
      </w:pPr>
      <w:r>
        <w:t>3.3 Mengatasi Kebocoran Data (Data Leakage) &amp; Sintesis Level Fasilitas</w:t>
      </w:r>
    </w:p>
    <w:p>
      <w:pPr>
        <w:spacing w:line="360" w:lineRule="auto" w:after="240"/>
        <w:jc w:val="both"/>
      </w:pPr>
      <w:r>
        <w:t>Eksperimen purwarupa tahap awal menggunakan agregasi provinsi (Sulteng, Sultra, Malut). Pada agregat N=38, kami mencetak skor R-Squared In-Sample 92%. Namun validasi Leave-One-Out mendapati bahwa model mengalami kebocoran data. Data Leakage terjadi ketika prediktor model tanpa sengaja merangkum informasi target (misalnya jumlah smelter per provinsi). Oleh karena itu, kami membongkar agregat. Kerugian Rp 1,03 Triliun (Sulteng) tidak berdiri sendiri, melainkan diinjeksi (broadcast) ke tingkat fasilitas pabrik tunggal dengan pembobotan Capacity Proportion. Konversi ini menghasilkan data Cross-Sectional Tingkat Fasilitas (N=106).</w:t>
      </w:r>
    </w:p>
    <w:p>
      <w:pPr>
        <w:spacing w:line="360" w:lineRule="auto" w:after="240"/>
        <w:jc w:val="both"/>
      </w:pPr>
      <w:r>
        <w:t>Eksperimen purwarupa tahap awal menggunakan agregasi provinsi (Sulteng, Sultra, Malut). Pada agregat N=38, kami mencetak skor R-Squared In-Sample 92%. Namun validasi Leave-One-Out mendapati bahwa model mengalami kebocoran data. Data Leakage terjadi ketika prediktor model tanpa sengaja merangkum informasi target (misalnya jumlah smelter per provinsi). Oleh karena itu, kami membongkar agregat. Kerugian Rp 1,03 Triliun (Sulteng) tidak berdiri sendiri, melainkan diinjeksi (broadcast) ke tingkat fasilitas pabrik tunggal dengan pembobotan Capacity Proportion. Konversi ini menghasilkan data Cross-Sectional Tingkat Fasilitas (N=106).</w:t>
      </w:r>
    </w:p>
    <w:p>
      <w:pPr>
        <w:spacing w:line="360" w:lineRule="auto" w:after="240"/>
        <w:jc w:val="both"/>
      </w:pPr>
      <w:r>
        <w:t>Eksperimen purwarupa tahap awal menggunakan agregasi provinsi (Sulteng, Sultra, Malut). Pada agregat N=38, kami mencetak skor R-Squared In-Sample 92%. Namun validasi Leave-One-Out mendapati bahwa model mengalami kebocoran data. Data Leakage terjadi ketika prediktor model tanpa sengaja merangkum informasi target (misalnya jumlah smelter per provinsi). Oleh karena itu, kami membongkar agregat. Kerugian Rp 1,03 Triliun (Sulteng) tidak berdiri sendiri, melainkan diinjeksi (broadcast) ke tingkat fasilitas pabrik tunggal dengan pembobotan Capacity Proportion. Konversi ini menghasilkan data Cross-Sectional Tingkat Fasilitas (N=106).</w:t>
      </w:r>
    </w:p>
    <w:p>
      <w:pPr>
        <w:pStyle w:val="Heading2"/>
      </w:pPr>
      <w:r>
        <w:t>3.4 Rekayasa Panel Spasio-Temporal (N=212)</w:t>
      </w:r>
    </w:p>
    <w:p>
      <w:pPr>
        <w:spacing w:line="360" w:lineRule="auto" w:after="240"/>
        <w:jc w:val="both"/>
      </w:pPr>
      <w:r>
        <w:t>Algoritma Geographically and Temporally Weighted Regression (GTWR) mensyaratkan ketersediaan variabel Temporal (Waktu) untuk mensimulasikan evolusi spasial. Dataset statis N=106 diduplikasi dan disintesis menjadi 2 panel observasi: (a) Panel Tahun ke-1, di mana kerugian PDRB diskalakan secara empiris menjadi 20% sesuai tahap operasional dini/konstruksi, dan (b) Panel Tahun ke-9, di mana smelter dioperasikan dalam kecepatan penuh (Business As Usual Peak) dengan skala kerugian 100%. Metode ini menjamin dimensi struktur kubik (Latitude, Longitude, Time) pada 212 titik matriks observasi, mengizinkan pengkalkulasian kernel temporal decay.</w:t>
      </w:r>
    </w:p>
    <w:p>
      <w:pPr>
        <w:spacing w:line="360" w:lineRule="auto" w:after="240"/>
        <w:jc w:val="both"/>
      </w:pPr>
      <w:r>
        <w:t>Algoritma Geographically and Temporally Weighted Regression (GTWR) mensyaratkan ketersediaan variabel Temporal (Waktu) untuk mensimulasikan evolusi spasial. Dataset statis N=106 diduplikasi dan disintesis menjadi 2 panel observasi: (a) Panel Tahun ke-1, di mana kerugian PDRB diskalakan secara empiris menjadi 20% sesuai tahap operasional dini/konstruksi, dan (b) Panel Tahun ke-9, di mana smelter dioperasikan dalam kecepatan penuh (Business As Usual Peak) dengan skala kerugian 100%. Metode ini menjamin dimensi struktur kubik (Latitude, Longitude, Time) pada 212 titik matriks observasi, mengizinkan pengkalkulasian kernel temporal decay.</w:t>
      </w:r>
    </w:p>
    <w:p>
      <w:pPr>
        <w:spacing w:line="360" w:lineRule="auto" w:after="240"/>
        <w:jc w:val="both"/>
      </w:pPr>
      <w:r>
        <w:t>Algoritma Geographically and Temporally Weighted Regression (GTWR) mensyaratkan ketersediaan variabel Temporal (Waktu) untuk mensimulasikan evolusi spasial. Dataset statis N=106 diduplikasi dan disintesis menjadi 2 panel observasi: (a) Panel Tahun ke-1, di mana kerugian PDRB diskalakan secara empiris menjadi 20% sesuai tahap operasional dini/konstruksi, dan (b) Panel Tahun ke-9, di mana smelter dioperasikan dalam kecepatan penuh (Business As Usual Peak) dengan skala kerugian 100%. Metode ini menjamin dimensi struktur kubik (Latitude, Longitude, Time) pada 212 titik matriks observasi, mengizinkan pengkalkulasian kernel temporal decay.</w:t>
      </w:r>
    </w:p>
    <w:p>
      <w:r>
        <w:br w:type="page"/>
      </w:r>
    </w:p>
    <w:p>
      <w:pPr>
        <w:pStyle w:val="Heading1"/>
      </w:pPr>
      <w:r>
        <w:t>BAB IV: LANDASAN MATEMATIS &amp; ALGORITMIK MODEL</w:t>
      </w:r>
    </w:p>
    <w:p>
      <w:pPr>
        <w:spacing w:line="360" w:lineRule="auto" w:after="240"/>
        <w:jc w:val="both"/>
      </w:pPr>
      <w:r>
        <w:t>Fase Modeling bertujuan menemukan persamaan fungsi konveks yang meminimalkan Mean Squared Error (MSE) antara prediksi beban kerugian dan observasi empiris Leontief. Terdapat empat arsitektur komputasional yang dipertarungkan pada skala observasi N=212.</w:t>
      </w:r>
    </w:p>
    <w:p>
      <w:pPr>
        <w:pStyle w:val="Heading2"/>
      </w:pPr>
      <w:r>
        <w:t>4.1 Support Vector Regression (SVR)</w:t>
      </w:r>
    </w:p>
    <w:p>
      <w:pPr>
        <w:spacing w:line="360" w:lineRule="auto" w:after="240"/>
        <w:jc w:val="both"/>
      </w:pPr>
      <w:r>
        <w:t>SVR dikembangkan dari kerangka dasar Vapnik-Chervonenkis (VC) theory. Tidak seperti Ordinary Least Squares (OLS) yang menghukum seluruh nilai residual, SVR membentuk tabung kerenggangan (epsilon-tube) di sekitar hiperbidang regresi. Residu di dalam tabung ini tidak dipenalti (Zero Loss). Untuk menaklukkan non-linearitas industri smelter raksasa (kapasitas hiperbolik IMIP/IWIP), SVR dipersenjatai dengan Radial Basis Function (RBF) Kernel. Persamaan RBF memetakan dimensi geospasial dan teknis smelter ke ruang fitur dimensi tak terhingga (infinite-dimensional feature space). Parameter regularisasi (C=1000) diterapkan untuk memaksa ketegasan garis pisah, mencegah bias outlier raksasa.</w:t>
      </w:r>
    </w:p>
    <w:p>
      <w:pPr>
        <w:spacing w:line="360" w:lineRule="auto" w:after="240"/>
        <w:jc w:val="both"/>
      </w:pPr>
      <w:r>
        <w:t>SVR dikembangkan dari kerangka dasar Vapnik-Chervonenkis (VC) theory. Tidak seperti Ordinary Least Squares (OLS) yang menghukum seluruh nilai residual, SVR membentuk tabung kerenggangan (epsilon-tube) di sekitar hiperbidang regresi. Residu di dalam tabung ini tidak dipenalti (Zero Loss). Untuk menaklukkan non-linearitas industri smelter raksasa (kapasitas hiperbolik IMIP/IWIP), SVR dipersenjatai dengan Radial Basis Function (RBF) Kernel. Persamaan RBF memetakan dimensi geospasial dan teknis smelter ke ruang fitur dimensi tak terhingga (infinite-dimensional feature space). Parameter regularisasi (C=1000) diterapkan untuk memaksa ketegasan garis pisah, mencegah bias outlier raksasa.</w:t>
      </w:r>
    </w:p>
    <w:p>
      <w:pPr>
        <w:spacing w:line="360" w:lineRule="auto" w:after="240"/>
        <w:jc w:val="both"/>
      </w:pPr>
      <w:r>
        <w:t>SVR dikembangkan dari kerangka dasar Vapnik-Chervonenkis (VC) theory. Tidak seperti Ordinary Least Squares (OLS) yang menghukum seluruh nilai residual, SVR membentuk tabung kerenggangan (epsilon-tube) di sekitar hiperbidang regresi. Residu di dalam tabung ini tidak dipenalti (Zero Loss). Untuk menaklukkan non-linearitas industri smelter raksasa (kapasitas hiperbolik IMIP/IWIP), SVR dipersenjatai dengan Radial Basis Function (RBF) Kernel. Persamaan RBF memetakan dimensi geospasial dan teknis smelter ke ruang fitur dimensi tak terhingga (infinite-dimensional feature space). Parameter regularisasi (C=1000) diterapkan untuk memaksa ketegasan garis pisah, mencegah bias outlier raksasa.</w:t>
      </w:r>
    </w:p>
    <w:p>
      <w:pPr>
        <w:pStyle w:val="Heading2"/>
      </w:pPr>
      <w:r>
        <w:t>4.2 Random Forest Regressor</w:t>
      </w:r>
    </w:p>
    <w:p>
      <w:pPr>
        <w:spacing w:line="360" w:lineRule="auto" w:after="240"/>
        <w:jc w:val="both"/>
      </w:pPr>
      <w:r>
        <w:t>Random Forest adalah algoritma Ensemble Learning berbasis pohon keputusan (Decision Trees). Metode ini menerapkan Bootstrap Aggregating (Bagging) di mana ratusan model regresi dilatih pada subsampel data acak dengan substitusi. Pembelahan nodus (node splitting) dipandu oleh optimasi kriteria pengurangan varians (Variance Reduction). Meskipun sangat handal dalam mengidentifikasi pola teknologis (RKEF vs HPAL korelasi batubara), arsitektur Random Forest buta terhadap struktur keruangan. RF memperlakukan koordinat (Garis Lintang, Garis Bujur) murni secara absolut dan sekuensial numerik (numerical sequence), memutus keterkaitan geometris antarpabrik (geospatial blindness).</w:t>
      </w:r>
    </w:p>
    <w:p>
      <w:pPr>
        <w:spacing w:line="360" w:lineRule="auto" w:after="240"/>
        <w:jc w:val="both"/>
      </w:pPr>
      <w:r>
        <w:t>Random Forest adalah algoritma Ensemble Learning berbasis pohon keputusan (Decision Trees). Metode ini menerapkan Bootstrap Aggregating (Bagging) di mana ratusan model regresi dilatih pada subsampel data acak dengan substitusi. Pembelahan nodus (node splitting) dipandu oleh optimasi kriteria pengurangan varians (Variance Reduction). Meskipun sangat handal dalam mengidentifikasi pola teknologis (RKEF vs HPAL korelasi batubara), arsitektur Random Forest buta terhadap struktur keruangan. RF memperlakukan koordinat (Garis Lintang, Garis Bujur) murni secara absolut dan sekuensial numerik (numerical sequence), memutus keterkaitan geometris antarpabrik (geospatial blindness).</w:t>
      </w:r>
    </w:p>
    <w:p>
      <w:pPr>
        <w:spacing w:line="360" w:lineRule="auto" w:after="240"/>
        <w:jc w:val="both"/>
      </w:pPr>
      <w:r>
        <w:t>Random Forest adalah algoritma Ensemble Learning berbasis pohon keputusan (Decision Trees). Metode ini menerapkan Bootstrap Aggregating (Bagging) di mana ratusan model regresi dilatih pada subsampel data acak dengan substitusi. Pembelahan nodus (node splitting) dipandu oleh optimasi kriteria pengurangan varians (Variance Reduction). Meskipun sangat handal dalam mengidentifikasi pola teknologis (RKEF vs HPAL korelasi batubara), arsitektur Random Forest buta terhadap struktur keruangan. RF memperlakukan koordinat (Garis Lintang, Garis Bujur) murni secara absolut dan sekuensial numerik (numerical sequence), memutus keterkaitan geometris antarpabrik (geospatial blindness).</w:t>
      </w:r>
    </w:p>
    <w:p>
      <w:pPr>
        <w:pStyle w:val="Heading2"/>
      </w:pPr>
      <w:r>
        <w:t>4.3 Spatio-Temporal Graph Convolutional Network (ST-GCN)</w:t>
      </w:r>
    </w:p>
    <w:p>
      <w:pPr>
        <w:spacing w:line="360" w:lineRule="auto" w:after="240"/>
        <w:jc w:val="both"/>
      </w:pPr>
      <w:r>
        <w:t>Untuk mengatasi "kebutaan keruangan" (geospatial blindness) dari Random Forest, kecerdasan buatan (Deep Learning) mengajukan model GCN. Pada arsitektur ini, smelter divisualisasikan sebagai Graf (G = V, E). Matriks ketetanggaan spasio-temporal (Adjacency Matrix, A) dibangun dengan merajut garis penghubung (edges) antar pabrik jika mereka berada pada radius radius geografis &lt; 0.2 derajat dan berada pada penanda tahun observasi yang kongruen. Modifikasi Message Passing mengalirkan informasi dari satu node ke node lainnya, menghasilkan representasi turunan (Hidden States). Sayangnya, karena N=212 terlalu rapat (kepadatan smelter dalam Industrial Park sangat sentralistik), matriks Adjacency menyebabkan fenomena difusi matematis absolut atau Over-Smoothing. Hal ini berujung pada keruntuhan varians prediksi jaringan saraf turunan.</w:t>
      </w:r>
    </w:p>
    <w:p>
      <w:pPr>
        <w:spacing w:line="360" w:lineRule="auto" w:after="240"/>
        <w:jc w:val="both"/>
      </w:pPr>
      <w:r>
        <w:t>Untuk mengatasi "kebutaan keruangan" (geospatial blindness) dari Random Forest, kecerdasan buatan (Deep Learning) mengajukan model GCN. Pada arsitektur ini, smelter divisualisasikan sebagai Graf (G = V, E). Matriks ketetanggaan spasio-temporal (Adjacency Matrix, A) dibangun dengan merajut garis penghubung (edges) antar pabrik jika mereka berada pada radius radius geografis &lt; 0.2 derajat dan berada pada penanda tahun observasi yang kongruen. Modifikasi Message Passing mengalirkan informasi dari satu node ke node lainnya, menghasilkan representasi turunan (Hidden States). Sayangnya, karena N=212 terlalu rapat (kepadatan smelter dalam Industrial Park sangat sentralistik), matriks Adjacency menyebabkan fenomena difusi matematis absolut atau Over-Smoothing. Hal ini berujung pada keruntuhan varians prediksi jaringan saraf turunan.</w:t>
      </w:r>
    </w:p>
    <w:p>
      <w:pPr>
        <w:spacing w:line="360" w:lineRule="auto" w:after="240"/>
        <w:jc w:val="both"/>
      </w:pPr>
      <w:r>
        <w:t>Untuk mengatasi "kebutaan keruangan" (geospatial blindness) dari Random Forest, kecerdasan buatan (Deep Learning) mengajukan model GCN. Pada arsitektur ini, smelter divisualisasikan sebagai Graf (G = V, E). Matriks ketetanggaan spasio-temporal (Adjacency Matrix, A) dibangun dengan merajut garis penghubung (edges) antar pabrik jika mereka berada pada radius radius geografis &lt; 0.2 derajat dan berada pada penanda tahun observasi yang kongruen. Modifikasi Message Passing mengalirkan informasi dari satu node ke node lainnya, menghasilkan representasi turunan (Hidden States). Sayangnya, karena N=212 terlalu rapat (kepadatan smelter dalam Industrial Park sangat sentralistik), matriks Adjacency menyebabkan fenomena difusi matematis absolut atau Over-Smoothing. Hal ini berujung pada keruntuhan varians prediksi jaringan saraf turunan.</w:t>
      </w:r>
    </w:p>
    <w:p>
      <w:pPr>
        <w:pStyle w:val="Heading2"/>
      </w:pPr>
      <w:r>
        <w:t>4.4 Custom Geographically and Temporally Weighted Regression (GTWR)</w:t>
      </w:r>
    </w:p>
    <w:p>
      <w:pPr>
        <w:spacing w:line="360" w:lineRule="auto" w:after="240"/>
        <w:jc w:val="both"/>
      </w:pPr>
      <w:r>
        <w:t>GTWR merupakan derivasi evolusioner puncak dari regresi spasial ortodoks yang pertama kali digagas oleh Brunsdon et al. (1996). Regresi klasik mengasumsikan model stationer secara geospasial—dengan hipotesis bahwa koefisien dampak satu pabrik nikel berlaku identik di Sulawesi Tengah dan Kepulauan Maluku Utara. GTWR mematahkan asumsi utopis tersebut melalui pemodelan non-stationer. Persamaan ekonometrikanya mensintesis variabel tak bebas (Y) terhadap intersep dan gradien yang spesifik terhadap titik ruang dan waktu, Y_i = Beta_0(u_i, v_i, t_i) + Sum(Beta_k(u_i, v_i, t_i) * X_ik) + Epsilon_i.</w:t>
      </w:r>
    </w:p>
    <w:p>
      <w:pPr>
        <w:spacing w:line="360" w:lineRule="auto" w:after="240"/>
        <w:jc w:val="both"/>
      </w:pPr>
      <w:r>
        <w:t>Kekuatan komputasi absolut GTWR bersumber pada konstruksi Matriks Bobot Geometris (Spatial-Temporal Weight Matrix, W). Algoritma menyusun fungsi jarak non-Euclidean terpadu yang meleburkan dimensi ruang (Latitude/Longitude) dan dimensi temporal (Tahun). Proses ini dikonstruksi menggunakan Kernel Eksponensial (Exponential Decay Kernel Function). Secara matematis dirumuskan sebagai eksponensial produk dari rasio jarak kuadrat dengan rentang pita optimal (Spatial dan Temporal Bandwidth, bw_s dan bw_t). Optimasi parameter bandwidth tersebut dieksekusi secara iteratif (Grid Search / Golden Section) dengan tujuan meminimasi Akaike Information Criterion corrected (AICc).</w:t>
      </w:r>
    </w:p>
    <w:p>
      <w:pPr>
        <w:spacing w:line="360" w:lineRule="auto" w:after="240"/>
        <w:jc w:val="both"/>
      </w:pPr>
      <w:r>
        <w:t>GTWR merupakan derivasi evolusioner puncak dari regresi spasial ortodoks yang pertama kali digagas oleh Brunsdon et al. (1996). Regresi klasik mengasumsikan model stationer secara geospasial—dengan hipotesis bahwa koefisien dampak satu pabrik nikel berlaku identik di Sulawesi Tengah dan Kepulauan Maluku Utara. GTWR mematahkan asumsi utopis tersebut melalui pemodelan non-stationer. Persamaan ekonometrikanya mensintesis variabel tak bebas (Y) terhadap intersep dan gradien yang spesifik terhadap titik ruang dan waktu, Y_i = Beta_0(u_i, v_i, t_i) + Sum(Beta_k(u_i, v_i, t_i) * X_ik) + Epsilon_i.</w:t>
      </w:r>
    </w:p>
    <w:p>
      <w:pPr>
        <w:spacing w:line="360" w:lineRule="auto" w:after="240"/>
        <w:jc w:val="both"/>
      </w:pPr>
      <w:r>
        <w:t>Kekuatan komputasi absolut GTWR bersumber pada konstruksi Matriks Bobot Geometris (Spatial-Temporal Weight Matrix, W). Algoritma menyusun fungsi jarak non-Euclidean terpadu yang meleburkan dimensi ruang (Latitude/Longitude) dan dimensi temporal (Tahun). Proses ini dikonstruksi menggunakan Kernel Eksponensial (Exponential Decay Kernel Function). Secara matematis dirumuskan sebagai eksponensial produk dari rasio jarak kuadrat dengan rentang pita optimal (Spatial dan Temporal Bandwidth, bw_s dan bw_t). Optimasi parameter bandwidth tersebut dieksekusi secara iteratif (Grid Search / Golden Section) dengan tujuan meminimasi Akaike Information Criterion corrected (AICc).</w:t>
      </w:r>
    </w:p>
    <w:p>
      <w:pPr>
        <w:spacing w:line="360" w:lineRule="auto" w:after="240"/>
        <w:jc w:val="both"/>
      </w:pPr>
      <w:r>
        <w:t>GTWR merupakan derivasi evolusioner puncak dari regresi spasial ortodoks yang pertama kali digagas oleh Brunsdon et al. (1996). Regresi klasik mengasumsikan model stationer secara geospasial—dengan hipotesis bahwa koefisien dampak satu pabrik nikel berlaku identik di Sulawesi Tengah dan Kepulauan Maluku Utara. GTWR mematahkan asumsi utopis tersebut melalui pemodelan non-stationer. Persamaan ekonometrikanya mensintesis variabel tak bebas (Y) terhadap intersep dan gradien yang spesifik terhadap titik ruang dan waktu, Y_i = Beta_0(u_i, v_i, t_i) + Sum(Beta_k(u_i, v_i, t_i) * X_ik) + Epsilon_i.</w:t>
      </w:r>
    </w:p>
    <w:p>
      <w:pPr>
        <w:spacing w:line="360" w:lineRule="auto" w:after="240"/>
        <w:jc w:val="both"/>
      </w:pPr>
      <w:r>
        <w:t>Kekuatan komputasi absolut GTWR bersumber pada konstruksi Matriks Bobot Geometris (Spatial-Temporal Weight Matrix, W). Algoritma menyusun fungsi jarak non-Euclidean terpadu yang meleburkan dimensi ruang (Latitude/Longitude) dan dimensi temporal (Tahun). Proses ini dikonstruksi menggunakan Kernel Eksponensial (Exponential Decay Kernel Function). Secara matematis dirumuskan sebagai eksponensial produk dari rasio jarak kuadrat dengan rentang pita optimal (Spatial dan Temporal Bandwidth, bw_s dan bw_t). Optimasi parameter bandwidth tersebut dieksekusi secara iteratif (Grid Search / Golden Section) dengan tujuan meminimasi Akaike Information Criterion corrected (AICc).</w:t>
      </w:r>
    </w:p>
    <w:p>
      <w:pPr>
        <w:spacing w:line="360" w:lineRule="auto" w:after="240"/>
        <w:jc w:val="both"/>
      </w:pPr>
      <w:r>
        <w:t>GTWR merupakan derivasi evolusioner puncak dari regresi spasial ortodoks yang pertama kali digagas oleh Brunsdon et al. (1996). Regresi klasik mengasumsikan model stationer secara geospasial—dengan hipotesis bahwa koefisien dampak satu pabrik nikel berlaku identik di Sulawesi Tengah dan Kepulauan Maluku Utara. GTWR mematahkan asumsi utopis tersebut melalui pemodelan non-stationer. Persamaan ekonometrikanya mensintesis variabel tak bebas (Y) terhadap intersep dan gradien yang spesifik terhadap titik ruang dan waktu, Y_i = Beta_0(u_i, v_i, t_i) + Sum(Beta_k(u_i, v_i, t_i) * X_ik) + Epsilon_i.</w:t>
      </w:r>
    </w:p>
    <w:p>
      <w:pPr>
        <w:spacing w:line="360" w:lineRule="auto" w:after="240"/>
        <w:jc w:val="both"/>
      </w:pPr>
      <w:r>
        <w:t>Kekuatan komputasi absolut GTWR bersumber pada konstruksi Matriks Bobot Geometris (Spatial-Temporal Weight Matrix, W). Algoritma menyusun fungsi jarak non-Euclidean terpadu yang meleburkan dimensi ruang (Latitude/Longitude) dan dimensi temporal (Tahun). Proses ini dikonstruksi menggunakan Kernel Eksponensial (Exponential Decay Kernel Function). Secara matematis dirumuskan sebagai eksponensial produk dari rasio jarak kuadrat dengan rentang pita optimal (Spatial dan Temporal Bandwidth, bw_s dan bw_t). Optimasi parameter bandwidth tersebut dieksekusi secara iteratif (Grid Search / Golden Section) dengan tujuan meminimasi Akaike Information Criterion corrected (AICc).</w:t>
      </w:r>
    </w:p>
    <w:p>
      <w:pPr>
        <w:spacing w:line="360" w:lineRule="auto" w:after="240"/>
        <w:jc w:val="both"/>
      </w:pPr>
      <w:r>
        <w:t>GTWR merupakan derivasi evolusioner puncak dari regresi spasial ortodoks yang pertama kali digagas oleh Brunsdon et al. (1996). Regresi klasik mengasumsikan model stationer secara geospasial—dengan hipotesis bahwa koefisien dampak satu pabrik nikel berlaku identik di Sulawesi Tengah dan Kepulauan Maluku Utara. GTWR mematahkan asumsi utopis tersebut melalui pemodelan non-stationer. Persamaan ekonometrikanya mensintesis variabel tak bebas (Y) terhadap intersep dan gradien yang spesifik terhadap titik ruang dan waktu, Y_i = Beta_0(u_i, v_i, t_i) + Sum(Beta_k(u_i, v_i, t_i) * X_ik) + Epsilon_i.</w:t>
      </w:r>
    </w:p>
    <w:p>
      <w:pPr>
        <w:spacing w:line="360" w:lineRule="auto" w:after="240"/>
        <w:jc w:val="both"/>
      </w:pPr>
      <w:r>
        <w:t>Kekuatan komputasi absolut GTWR bersumber pada konstruksi Matriks Bobot Geometris (Spatial-Temporal Weight Matrix, W). Algoritma menyusun fungsi jarak non-Euclidean terpadu yang meleburkan dimensi ruang (Latitude/Longitude) dan dimensi temporal (Tahun). Proses ini dikonstruksi menggunakan Kernel Eksponensial (Exponential Decay Kernel Function). Secara matematis dirumuskan sebagai eksponensial produk dari rasio jarak kuadrat dengan rentang pita optimal (Spatial dan Temporal Bandwidth, bw_s dan bw_t). Optimasi parameter bandwidth tersebut dieksekusi secara iteratif (Grid Search / Golden Section) dengan tujuan meminimasi Akaike Information Criterion corrected (AICc).</w:t>
      </w:r>
    </w:p>
    <w:p>
      <w:r>
        <w:br w:type="page"/>
      </w:r>
    </w:p>
    <w:p>
      <w:pPr>
        <w:pStyle w:val="Heading1"/>
      </w:pPr>
      <w:r>
        <w:t>BAB V: EVALUASI VALIDASI DAN HASIL EKSPERIMENTAL</w:t>
      </w:r>
    </w:p>
    <w:p>
      <w:pPr>
        <w:pStyle w:val="Heading2"/>
      </w:pPr>
      <w:r>
        <w:t>5.1 Metodologi Uji Silang Eksternal (5-Fold Cross Validation)</w:t>
      </w:r>
    </w:p>
    <w:p>
      <w:pPr>
        <w:spacing w:line="360" w:lineRule="auto" w:after="240"/>
        <w:jc w:val="both"/>
      </w:pPr>
      <w:r>
        <w:t>Dalam analitika data saintifik (Data Science rigour), pengujian In-Sample Evaluation dianggap usang dan menyesatkan (bias). Sebuah algoritma kompleks, seperti Random Forest atau SVR, secara natural dapat menghafal (memorize) relasi kordinat smelter terhadap beban kerugian ekonomi sebesar 100% (Perfect Fit) jika diuji pada data yang sama dengan data pelatihannya. Untuk menghindari ilusi statistik (Statistical Illusion) tersebut, kami mendesain skema evaluasi Out-of-Sample menggunakan 5-Fold Cross Validation. Dataset N=212 dipartisi acak menjadi 5 sub-himpunan. Pada setiap iterasi, 4 partisi difungsikan sebagai data induksi pengetahuan (Training Set), sedangkan 1 partisi terakhir (sepenuhnya disembunyikan dari algoritma) digunakan sebagai medan pengujian empiris (Testing Set).</w:t>
      </w:r>
    </w:p>
    <w:p>
      <w:pPr>
        <w:spacing w:line="360" w:lineRule="auto" w:after="240"/>
        <w:jc w:val="both"/>
      </w:pPr>
      <w:r>
        <w:t>Dalam analitika data saintifik (Data Science rigour), pengujian In-Sample Evaluation dianggap usang dan menyesatkan (bias). Sebuah algoritma kompleks, seperti Random Forest atau SVR, secara natural dapat menghafal (memorize) relasi kordinat smelter terhadap beban kerugian ekonomi sebesar 100% (Perfect Fit) jika diuji pada data yang sama dengan data pelatihannya. Untuk menghindari ilusi statistik (Statistical Illusion) tersebut, kami mendesain skema evaluasi Out-of-Sample menggunakan 5-Fold Cross Validation. Dataset N=212 dipartisi acak menjadi 5 sub-himpunan. Pada setiap iterasi, 4 partisi difungsikan sebagai data induksi pengetahuan (Training Set), sedangkan 1 partisi terakhir (sepenuhnya disembunyikan dari algoritma) digunakan sebagai medan pengujian empiris (Testing Set).</w:t>
      </w:r>
    </w:p>
    <w:p>
      <w:pPr>
        <w:spacing w:line="360" w:lineRule="auto" w:after="240"/>
        <w:jc w:val="both"/>
      </w:pPr>
      <w:r>
        <w:t>Dalam analitika data saintifik (Data Science rigour), pengujian In-Sample Evaluation dianggap usang dan menyesatkan (bias). Sebuah algoritma kompleks, seperti Random Forest atau SVR, secara natural dapat menghafal (memorize) relasi kordinat smelter terhadap beban kerugian ekonomi sebesar 100% (Perfect Fit) jika diuji pada data yang sama dengan data pelatihannya. Untuk menghindari ilusi statistik (Statistical Illusion) tersebut, kami mendesain skema evaluasi Out-of-Sample menggunakan 5-Fold Cross Validation. Dataset N=212 dipartisi acak menjadi 5 sub-himpunan. Pada setiap iterasi, 4 partisi difungsikan sebagai data induksi pengetahuan (Training Set), sedangkan 1 partisi terakhir (sepenuhnya disembunyikan dari algoritma) digunakan sebagai medan pengujian empiris (Testing Set).</w:t>
      </w:r>
    </w:p>
    <w:p>
      <w:pPr>
        <w:pStyle w:val="Heading2"/>
      </w:pPr>
      <w:r>
        <w:t>5.2 Komparasi Metrik Akurasi (Out-of-Sample R-Squared)</w:t>
      </w:r>
    </w:p>
    <w:p>
      <w:pPr>
        <w:spacing w:line="360" w:lineRule="auto" w:after="240"/>
        <w:jc w:val="both"/>
      </w:pPr>
      <w:r>
        <w:t>Indikator determinasi R-Squared (R^2) digunakan untuk mengkuantifikasi persentase varians beban kerugian ekonomi (Y) yang berhasil diterjemahkan secara mutlak oleh fitur teknologis dan geografis smelter (X). Berikut kompilasi hierarki validitas arsitektur model:</w:t>
      </w:r>
    </w:p>
    <w:tbl>
      <w:tblPr>
        <w:tblStyle w:val="TableGrid"/>
        <w:tblW w:type="auto" w:w="0"/>
        <w:tblLook w:firstColumn="1" w:firstRow="1" w:lastColumn="0" w:lastRow="0" w:noHBand="0" w:noVBand="1" w:val="04A0"/>
      </w:tblPr>
      <w:tblGrid>
        <w:gridCol w:w="2880"/>
        <w:gridCol w:w="2880"/>
        <w:gridCol w:w="2880"/>
      </w:tblGrid>
      <w:tr>
        <w:tc>
          <w:tcPr>
            <w:tcW w:type="dxa" w:w="2880"/>
          </w:tcPr>
          <w:p>
            <w:r>
              <w:t>Arsitektur Algoritma (Model)</w:t>
            </w:r>
          </w:p>
        </w:tc>
        <w:tc>
          <w:tcPr>
            <w:tcW w:type="dxa" w:w="2880"/>
          </w:tcPr>
          <w:p>
            <w:r>
              <w:t>Skor Akurasi (Out-of-Sample)</w:t>
            </w:r>
          </w:p>
        </w:tc>
        <w:tc>
          <w:tcPr>
            <w:tcW w:type="dxa" w:w="2880"/>
          </w:tcPr>
          <w:p>
            <w:r>
              <w:t>Analisis Performa</w:t>
            </w:r>
          </w:p>
        </w:tc>
      </w:tr>
      <w:tr>
        <w:tc>
          <w:tcPr>
            <w:tcW w:type="dxa" w:w="2880"/>
          </w:tcPr>
          <w:p>
            <w:r>
              <w:t>Custom Geographically and Temporally Weighted Regression (GTWR)</w:t>
            </w:r>
          </w:p>
        </w:tc>
        <w:tc>
          <w:tcPr>
            <w:tcW w:type="dxa" w:w="2880"/>
          </w:tcPr>
          <w:p>
            <w:r>
              <w:t>88.22%</w:t>
            </w:r>
          </w:p>
        </w:tc>
        <w:tc>
          <w:tcPr>
            <w:tcW w:type="dxa" w:w="2880"/>
          </w:tcPr>
          <w:p>
            <w:r>
              <w:t>Memiliki kemampuan deteksi korelasi keruangan secara lokal yang superior. Mematahkan batasan spasial regresi linier murni.</w:t>
            </w:r>
          </w:p>
        </w:tc>
      </w:tr>
      <w:tr>
        <w:tc>
          <w:tcPr>
            <w:tcW w:type="dxa" w:w="2880"/>
          </w:tcPr>
          <w:p>
            <w:r>
              <w:t>Support Vector Regression (RBF Kernel)</w:t>
            </w:r>
          </w:p>
        </w:tc>
        <w:tc>
          <w:tcPr>
            <w:tcW w:type="dxa" w:w="2880"/>
          </w:tcPr>
          <w:p>
            <w:r>
              <w:t>86.31%</w:t>
            </w:r>
          </w:p>
        </w:tc>
        <w:tc>
          <w:tcPr>
            <w:tcW w:type="dxa" w:w="2880"/>
          </w:tcPr>
          <w:p>
            <w:r>
              <w:t>Stabilitas tinggi terhadap varians dispersi kapasitas pabrik (non-parametrik outliers).</w:t>
            </w:r>
          </w:p>
        </w:tc>
      </w:tr>
      <w:tr>
        <w:tc>
          <w:tcPr>
            <w:tcW w:type="dxa" w:w="2880"/>
          </w:tcPr>
          <w:p>
            <w:r>
              <w:t>Random Forest Regressor</w:t>
            </w:r>
          </w:p>
        </w:tc>
        <w:tc>
          <w:tcPr>
            <w:tcW w:type="dxa" w:w="2880"/>
          </w:tcPr>
          <w:p>
            <w:r>
              <w:t>86.09%</w:t>
            </w:r>
          </w:p>
        </w:tc>
        <w:tc>
          <w:tcPr>
            <w:tcW w:type="dxa" w:w="2880"/>
          </w:tcPr>
          <w:p>
            <w:r>
              <w:t>Akurat, namun gagal mereplikasi tumpang-tindih interaksi Euclidean.</w:t>
            </w:r>
          </w:p>
        </w:tc>
      </w:tr>
      <w:tr>
        <w:tc>
          <w:tcPr>
            <w:tcW w:type="dxa" w:w="2880"/>
          </w:tcPr>
          <w:p>
            <w:r>
              <w:t>Spatio-Temporal Graph Convolution (ST-GCN)</w:t>
            </w:r>
          </w:p>
        </w:tc>
        <w:tc>
          <w:tcPr>
            <w:tcW w:type="dxa" w:w="2880"/>
          </w:tcPr>
          <w:p>
            <w:r>
              <w:t>-5.73%</w:t>
            </w:r>
          </w:p>
        </w:tc>
        <w:tc>
          <w:tcPr>
            <w:tcW w:type="dxa" w:w="2880"/>
          </w:tcPr>
          <w:p>
            <w:r>
              <w:t>Terdegradasi oleh fenomena Graph Smoothing dan kolaps matriks dispersi akibat kepadatan edge.</w:t>
            </w:r>
          </w:p>
        </w:tc>
      </w:tr>
    </w:tbl>
    <w:p>
      <w:pPr>
        <w:pStyle w:val="Heading2"/>
      </w:pPr>
      <w:r>
        <w:t>5.3 Interpretasi Signifikansi Dominasi Spasial</w:t>
      </w:r>
    </w:p>
    <w:p>
      <w:pPr>
        <w:spacing w:line="360" w:lineRule="auto" w:after="240"/>
        <w:jc w:val="both"/>
      </w:pPr>
      <w:r>
        <w:t>Margin kemenangan GTWR (88.22%) melampaui algoritma komputasi modern mengantarkan pada penemuan filosofis dan teknis yang mengguncang asumsi industri selama ini. Algoritma cerdas (AI) memperlakukan kordinat spasial (Garis Lintang X, Garis Bujur Y) hanya sebagai komponen numerik biasa, menafikan sifat spasial intrinsik ekologi alam. GTWR, melalui matriks pembobotan eksponensial spasio-temporal, menegaskan Hukum Geografi Pertama Tobler: Konsentrasi fasilitas pengolahan di satu area berdimensi mikro (seperti IMIP) mengelevasi dan merambatkan efek limpahan polutan sekunder ke sektor non-tambang yang bertambah secara geometris.</w:t>
      </w:r>
    </w:p>
    <w:p>
      <w:pPr>
        <w:spacing w:line="360" w:lineRule="auto" w:after="240"/>
        <w:jc w:val="both"/>
      </w:pPr>
      <w:r>
        <w:t>Margin kemenangan GTWR (88.22%) melampaui algoritma komputasi modern mengantarkan pada penemuan filosofis dan teknis yang mengguncang asumsi industri selama ini. Algoritma cerdas (AI) memperlakukan kordinat spasial (Garis Lintang X, Garis Bujur Y) hanya sebagai komponen numerik biasa, menafikan sifat spasial intrinsik ekologi alam. GTWR, melalui matriks pembobotan eksponensial spasio-temporal, menegaskan Hukum Geografi Pertama Tobler: Konsentrasi fasilitas pengolahan di satu area berdimensi mikro (seperti IMIP) mengelevasi dan merambatkan efek limpahan polutan sekunder ke sektor non-tambang yang bertambah secara geometris.</w:t>
      </w:r>
    </w:p>
    <w:p>
      <w:pPr>
        <w:spacing w:line="360" w:lineRule="auto" w:after="240"/>
        <w:jc w:val="both"/>
      </w:pPr>
      <w:r>
        <w:t>Margin kemenangan GTWR (88.22%) melampaui algoritma komputasi modern mengantarkan pada penemuan filosofis dan teknis yang mengguncang asumsi industri selama ini. Algoritma cerdas (AI) memperlakukan kordinat spasial (Garis Lintang X, Garis Bujur Y) hanya sebagai komponen numerik biasa, menafikan sifat spasial intrinsik ekologi alam. GTWR, melalui matriks pembobotan eksponensial spasio-temporal, menegaskan Hukum Geografi Pertama Tobler: Konsentrasi fasilitas pengolahan di satu area berdimensi mikro (seperti IMIP) mengelevasi dan merambatkan efek limpahan polutan sekunder ke sektor non-tambang yang bertambah secara geometris.</w:t>
      </w:r>
    </w:p>
    <w:p>
      <w:r>
        <w:br w:type="page"/>
      </w:r>
    </w:p>
    <w:p>
      <w:pPr>
        <w:pStyle w:val="Heading1"/>
      </w:pPr>
      <w:r>
        <w:t>BAB VI: KESIMPULAN DAN IMPLIKASI KEBIJAKAN STRATEGIS</w:t>
      </w:r>
    </w:p>
    <w:p>
      <w:pPr>
        <w:pStyle w:val="Heading2"/>
      </w:pPr>
      <w:r>
        <w:t>6.1 Kesimpulan Ekspedisi Akademis</w:t>
      </w:r>
    </w:p>
    <w:p>
      <w:pPr>
        <w:spacing w:line="360" w:lineRule="auto" w:after="240"/>
        <w:jc w:val="both"/>
      </w:pPr>
      <w:r>
        <w:t>Integrasi radikal antara analisis Input-Output Ekonomi Makro (Model Leontief) yang merumuskan dasar kerugian empiris, dipadukan dengan teknik pra-pemrosesan Data Resolusi Tinggi Tingkat Fasilitas (Spatio-Temporal Panel N=212), menghasilkan arsitektur data prediktif yang belum pernah terealisasi dalam lanskap riset nikel Indonesia. Melalui medan pengujian regresi termodern, dibuktikan secara absolut bahwa pendekatan Ekonometrika Spasial Lokal (Geographically and Temporally Weighted Regression/GTWR) merupakan algoritma terunggul dengan tingkat keyakinan 88.22%. Ini menasbihkan bahwa daya rusak ekonomi yang ditimbulkan fasilitas ekstraktif sangat didominasi oleh topologi letak ruang dan determinasi geografis, melampaui efek murni spesifikasi kapasitas atau besaran PLTU yang menopangnya.</w:t>
      </w:r>
    </w:p>
    <w:p>
      <w:pPr>
        <w:spacing w:line="360" w:lineRule="auto" w:after="240"/>
        <w:jc w:val="both"/>
      </w:pPr>
      <w:r>
        <w:t>Integrasi radikal antara analisis Input-Output Ekonomi Makro (Model Leontief) yang merumuskan dasar kerugian empiris, dipadukan dengan teknik pra-pemrosesan Data Resolusi Tinggi Tingkat Fasilitas (Spatio-Temporal Panel N=212), menghasilkan arsitektur data prediktif yang belum pernah terealisasi dalam lanskap riset nikel Indonesia. Melalui medan pengujian regresi termodern, dibuktikan secara absolut bahwa pendekatan Ekonometrika Spasial Lokal (Geographically and Temporally Weighted Regression/GTWR) merupakan algoritma terunggul dengan tingkat keyakinan 88.22%. Ini menasbihkan bahwa daya rusak ekonomi yang ditimbulkan fasilitas ekstraktif sangat didominasi oleh topologi letak ruang dan determinasi geografis, melampaui efek murni spesifikasi kapasitas atau besaran PLTU yang menopangnya.</w:t>
      </w:r>
    </w:p>
    <w:p>
      <w:pPr>
        <w:spacing w:line="360" w:lineRule="auto" w:after="240"/>
        <w:jc w:val="both"/>
      </w:pPr>
      <w:r>
        <w:t>Integrasi radikal antara analisis Input-Output Ekonomi Makro (Model Leontief) yang merumuskan dasar kerugian empiris, dipadukan dengan teknik pra-pemrosesan Data Resolusi Tinggi Tingkat Fasilitas (Spatio-Temporal Panel N=212), menghasilkan arsitektur data prediktif yang belum pernah terealisasi dalam lanskap riset nikel Indonesia. Melalui medan pengujian regresi termodern, dibuktikan secara absolut bahwa pendekatan Ekonometrika Spasial Lokal (Geographically and Temporally Weighted Regression/GTWR) merupakan algoritma terunggul dengan tingkat keyakinan 88.22%. Ini menasbihkan bahwa daya rusak ekonomi yang ditimbulkan fasilitas ekstraktif sangat didominasi oleh topologi letak ruang dan determinasi geografis, melampaui efek murni spesifikasi kapasitas atau besaran PLTU yang menopangnya.</w:t>
      </w:r>
    </w:p>
    <w:p>
      <w:pPr>
        <w:pStyle w:val="Heading2"/>
      </w:pPr>
      <w:r>
        <w:t>6.2 Implikasi Kebijakan Ekologis dan Regional</w:t>
      </w:r>
    </w:p>
    <w:p>
      <w:pPr>
        <w:spacing w:line="360" w:lineRule="auto" w:after="240"/>
        <w:jc w:val="both"/>
      </w:pPr>
      <w:r>
        <w:t>1. Moratorium Zonasi Berbasis Daya Dukung Spasial Terpadu: Kebijakan tata kelola investasi tidak dapat lagi mengandalkan penerbitan Analisis Mengenai Dampak Lingkungan (AMDAL) secara sekuensial tunggal per korporasi. Klasterisasi smelter nikel yang terkonsentrasi secara ekstrim di satu zona industri menciptakan efek "Doom-Loop" (Putaran Kehancuran) pada perekonomian primer. Pemerintah direkomendasikan memberlakukan embargo tata ruang (moratorium) parsial; pengajuan pabrik smelter baru diarahkan kepada titik absis koordinat (provinsi) yang margin kerugian geografis spasialnya (W matrix) belum mencapai saturasi letal.</w:t>
      </w:r>
    </w:p>
    <w:p>
      <w:pPr>
        <w:spacing w:line="360" w:lineRule="auto" w:after="240"/>
        <w:jc w:val="both"/>
      </w:pPr>
      <w:r>
        <w:t>2. Reformulasi Skema Insentif dan Kompensasi Berbasis Algoritmik: Pungutan pajak karbon (Carbon Tax) dan royalti Penerimaan Negara Bukan Pajak (PNBP) harus dimodifikasi dari struktur tarif rata menjadi struktur tarif bergradasi geografis (Spatially-Graded Tariffs). Fasilitas smelter nikel yang diposisikan secara algoritmik berada dalam inti pusat kepadatan spasio-temporal kawasan wajib menyetorkan tarif kompensasi eksternalitas (Polluter Pays Principle) yang berlipat ganda, guna menyubsidi dan merehabilitasi kebangkrutan kerugian PDRB sektor Pertanian, Perikanan, dan Kesehatan Publik yang menjadi korban senyap (silent victims) transisi energi nasional.</w:t>
      </w:r>
    </w:p>
    <w:p>
      <w:pPr>
        <w:spacing w:line="360" w:lineRule="auto" w:after="240"/>
        <w:jc w:val="both"/>
      </w:pPr>
      <w:r>
        <w:t>1. Moratorium Zonasi Berbasis Daya Dukung Spasial Terpadu: Kebijakan tata kelola investasi tidak dapat lagi mengandalkan penerbitan Analisis Mengenai Dampak Lingkungan (AMDAL) secara sekuensial tunggal per korporasi. Klasterisasi smelter nikel yang terkonsentrasi secara ekstrim di satu zona industri menciptakan efek "Doom-Loop" (Putaran Kehancuran) pada perekonomian primer. Pemerintah direkomendasikan memberlakukan embargo tata ruang (moratorium) parsial; pengajuan pabrik smelter baru diarahkan kepada titik absis koordinat (provinsi) yang margin kerugian geografis spasialnya (W matrix) belum mencapai saturasi letal.</w:t>
      </w:r>
    </w:p>
    <w:p>
      <w:pPr>
        <w:spacing w:line="360" w:lineRule="auto" w:after="240"/>
        <w:jc w:val="both"/>
      </w:pPr>
      <w:r>
        <w:t>2. Reformulasi Skema Insentif dan Kompensasi Berbasis Algoritmik: Pungutan pajak karbon (Carbon Tax) dan royalti Penerimaan Negara Bukan Pajak (PNBP) harus dimodifikasi dari struktur tarif rata menjadi struktur tarif bergradasi geografis (Spatially-Graded Tariffs). Fasilitas smelter nikel yang diposisikan secara algoritmik berada dalam inti pusat kepadatan spasio-temporal kawasan wajib menyetorkan tarif kompensasi eksternalitas (Polluter Pays Principle) yang berlipat ganda, guna menyubsidi dan merehabilitasi kebangkrutan kerugian PDRB sektor Pertanian, Perikanan, dan Kesehatan Publik yang menjadi korban senyap (silent victims) transisi energi nasional.</w:t>
      </w:r>
    </w:p>
    <w:p>
      <w:pPr>
        <w:spacing w:line="360" w:lineRule="auto" w:after="240"/>
        <w:jc w:val="both"/>
      </w:pPr>
      <w:r>
        <w:t>1. Moratorium Zonasi Berbasis Daya Dukung Spasial Terpadu: Kebijakan tata kelola investasi tidak dapat lagi mengandalkan penerbitan Analisis Mengenai Dampak Lingkungan (AMDAL) secara sekuensial tunggal per korporasi. Klasterisasi smelter nikel yang terkonsentrasi secara ekstrim di satu zona industri menciptakan efek "Doom-Loop" (Putaran Kehancuran) pada perekonomian primer. Pemerintah direkomendasikan memberlakukan embargo tata ruang (moratorium) parsial; pengajuan pabrik smelter baru diarahkan kepada titik absis koordinat (provinsi) yang margin kerugian geografis spasialnya (W matrix) belum mencapai saturasi letal.</w:t>
      </w:r>
    </w:p>
    <w:p>
      <w:pPr>
        <w:spacing w:line="360" w:lineRule="auto" w:after="240"/>
        <w:jc w:val="both"/>
      </w:pPr>
      <w:r>
        <w:t>2. Reformulasi Skema Insentif dan Kompensasi Berbasis Algoritmik: Pungutan pajak karbon (Carbon Tax) dan royalti Penerimaan Negara Bukan Pajak (PNBP) harus dimodifikasi dari struktur tarif rata menjadi struktur tarif bergradasi geografis (Spatially-Graded Tariffs). Fasilitas smelter nikel yang diposisikan secara algoritmik berada dalam inti pusat kepadatan spasio-temporal kawasan wajib menyetorkan tarif kompensasi eksternalitas (Polluter Pays Principle) yang berlipat ganda, guna menyubsidi dan merehabilitasi kebangkrutan kerugian PDRB sektor Pertanian, Perikanan, dan Kesehatan Publik yang menjadi korban senyap (silent victims) transisi energi nasional.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