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NASKAH AKADEMIK EKSTENSIF</w:t>
      </w:r>
    </w:p>
    <w:p>
      <w:pPr>
        <w:pStyle w:val="Heading1"/>
        <w:jc w:val="center"/>
      </w:pPr>
      <w:r>
        <w:t>SPATIO-TEMPORAL IMPACTS OF ENERGY TRANSITION IN INDONESIA'S NICKEL PROCESSING INDUSTRY ON SECTORAL GRDP:</w:t>
      </w:r>
    </w:p>
    <w:p>
      <w:pPr>
        <w:pStyle w:val="Heading2"/>
        <w:jc w:val="center"/>
      </w:pPr>
      <w:r>
        <w:t>A GTWR AND LEONTIEF INPUT-OUTPUT APPROACH</w:t>
      </w:r>
    </w:p>
    <w:p>
      <w:r>
        <w:br/>
        <w:br/>
        <w:br/>
      </w:r>
    </w:p>
    <w:p>
      <w:pPr>
        <w:jc w:val="center"/>
      </w:pPr>
      <w:r>
        <w:t>Disusun oleh:</w:t>
        <w:br/>
      </w:r>
      <w:r>
        <w:rPr>
          <w:b/>
        </w:rPr>
        <w:t>Anwar Rohmadi, Ahmad Ruhayani Azis, Haya Nur Fadhilah, Zulfanita Dien Rizqiana</w:t>
        <w:br/>
      </w:r>
      <w:r>
        <w:t>Program Studi Sains Data, Universitas Islam Negeri Raden Mas Said Surakarta</w:t>
        <w:br/>
        <w:t>Surakarta, 57168</w:t>
        <w:br/>
      </w:r>
    </w:p>
    <w:p>
      <w:r>
        <w:br w:type="page"/>
      </w:r>
    </w:p>
    <w:p>
      <w:pPr>
        <w:pStyle w:val="Heading1"/>
        <w:jc w:val="center"/>
      </w:pPr>
      <w:r>
        <w:t>ABSTRACT</w:t>
      </w:r>
    </w:p>
    <w:p>
      <w:pPr>
        <w:spacing w:line="360" w:lineRule="auto" w:after="240"/>
        <w:jc w:val="both"/>
      </w:pPr>
      <w:r>
        <w:rPr>
          <w:i/>
        </w:rPr>
        <w:t>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r>
        <w:rPr>
          <w:b/>
        </w:rPr>
        <w:t xml:space="preserve">Keywords: </w:t>
      </w:r>
      <w:r>
        <w:t>Captive Coal Power; Energy Transition; GTWR; Nickel Downstreaming; Sectoral GRDP.</w:t>
      </w:r>
    </w:p>
    <w:p>
      <w:r>
        <w:br w:type="page"/>
      </w:r>
    </w:p>
    <w:p>
      <w:pPr>
        <w:pStyle w:val="Heading1"/>
      </w:pPr>
      <w:r>
        <w:t>BAB I: PENDAHULUAN DAN KERANGKA TEORI</w:t>
      </w:r>
    </w:p>
    <w:p>
      <w:pPr>
        <w:pStyle w:val="Heading2"/>
      </w:pPr>
      <w:r>
        <w:t>1.1 Latar Belakang Transisi Energi Global</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mengungkap fakta paradoksal: pertumbuhan dua digit PDRB di wilayah episentrum nikel semata-mata digerakkan oleh lonjakan sektor pertambangan, sementara sektor-sektor primer seperti pertanian, perikanan, dan kehutanan mengalami kontraksi.</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mengungkap fakta paradoksal: pertumbuhan dua digit PDRB di wilayah episentrum nikel semata-mata digerakkan oleh lonjakan sektor pertambangan, sementara sektor-sektor primer seperti pertanian, perikanan, dan kehutanan mengalami kontraksi.</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mengungkap fakta paradoksal: pertumbuhan dua digit PDRB di wilayah episentrum nikel semata-mata digerakkan oleh lonjakan sektor pertambangan, sementara sektor-sektor primer seperti pertanian, perikanan, dan kehutanan mengalami kontraksi.</w:t>
      </w:r>
    </w:p>
    <w:p>
      <w:pPr>
        <w:pStyle w:val="Heading2"/>
      </w:pPr>
      <w:r>
        <w:t>1.2 Teori Efek Limpahan (Spillover) dan Hukum Geografi Tobler</w:t>
      </w:r>
    </w:p>
    <w:p>
      <w:pPr>
        <w:spacing w:line="360" w:lineRule="auto" w:after="240"/>
        <w:jc w:val="both"/>
      </w:pPr>
      <w:r>
        <w:t>Ekonometrika tata ruang berpijak pada Hukum Geografi Pertama (Tobler’s First Law of Geography) yang dicetuskan oleh Waldo Tobler pada tahun 1970. Dalam konteks industri nikel, hukum Tobler memprediksi fenomena klasterisasi polusi (pollution clustering) dan aglomerasi kerugian ekonomi.</w:t>
      </w:r>
    </w:p>
    <w:p>
      <w:pPr>
        <w:spacing w:line="360" w:lineRule="auto" w:after="240"/>
        <w:jc w:val="both"/>
      </w:pPr>
      <w:r>
        <w:t>Kebijakan pemerintah yang memusatkan puluhan hingga ratusan smelter dalam satu kawasan terpadu menghasilkan tumpang-tindih emisi secara geografis. Tumpang-tindih ini bersifat multiplikatif eksponensial. Kombinasi sulfur dioksida (SO2), nitrogen oksida (NOx), dan partikulat halus (PM2.5) dari Pembangkit Listrik Tenaga Uap (PLTU) captive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Dalam konteks industri nikel, hukum Tobler memprediksi fenomena klasterisasi polusi (pollution clustering) dan aglomerasi kerugian ekonomi.</w:t>
      </w:r>
    </w:p>
    <w:p>
      <w:pPr>
        <w:spacing w:line="360" w:lineRule="auto" w:after="240"/>
        <w:jc w:val="both"/>
      </w:pPr>
      <w:r>
        <w:t>Kebijakan pemerintah yang memusatkan puluhan hingga ratusan smelter dalam satu kawasan terpadu menghasilkan tumpang-tindih emisi secara geografis. Tumpang-tindih ini bersifat multiplikatif eksponensial. Kombinasi sulfur dioksida (SO2), nitrogen oksida (NOx), dan partikulat halus (PM2.5) dari Pembangkit Listrik Tenaga Uap (PLTU) captive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Dalam konteks industri nikel, hukum Tobler memprediksi fenomena klasterisasi polusi (pollution clustering) dan aglomerasi kerugian ekonomi.</w:t>
      </w:r>
    </w:p>
    <w:p>
      <w:pPr>
        <w:spacing w:line="360" w:lineRule="auto" w:after="240"/>
        <w:jc w:val="both"/>
      </w:pPr>
      <w:r>
        <w:t>Kebijakan pemerintah yang memusatkan puluhan hingga ratusan smelter dalam satu kawasan terpadu menghasilkan tumpang-tindih emisi secara geografis. Tumpang-tindih ini bersifat multiplikatif eksponensial. Kombinasi sulfur dioksida (SO2), nitrogen oksida (NOx), dan partikulat halus (PM2.5) dari Pembangkit Listrik Tenaga Uap (PLTU) captive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Dalam konteks industri nikel, hukum Tobler memprediksi fenomena klasterisasi polusi (pollution clustering) dan aglomerasi kerugian ekonomi.</w:t>
      </w:r>
    </w:p>
    <w:p>
      <w:pPr>
        <w:spacing w:line="360" w:lineRule="auto" w:after="240"/>
        <w:jc w:val="both"/>
      </w:pPr>
      <w:r>
        <w:t>Kebijakan pemerintah yang memusatkan puluhan hingga ratusan smelter dalam satu kawasan terpadu menghasilkan tumpang-tindih emisi secara geografis. Tumpang-tindih ini bersifat multiplikatif eksponensial. Kombinasi sulfur dioksida (SO2), nitrogen oksida (NOx), dan partikulat halus (PM2.5) dari Pembangkit Listrik Tenaga Uap (PLTU) captive menyebabkan presipitasi hujan asam berskala regional yang menurunkan pH tanah pertanian secara ireversibel.</w:t>
      </w:r>
    </w:p>
    <w:p>
      <w:r>
        <w:br w:type="page"/>
      </w:r>
    </w:p>
    <w:p>
      <w:pPr>
        <w:pStyle w:val="Heading1"/>
      </w:pPr>
      <w:r>
        <w:t>BAB II: INVENTARISASI EKSTENSIF 57 TABEL DATA</w:t>
      </w:r>
    </w:p>
    <w:p>
      <w:pPr>
        <w:spacing w:line="360" w:lineRule="auto" w:after="240"/>
        <w:jc w:val="both"/>
      </w:pPr>
      <w:r>
        <w:t>Penelitian ini merangkai 57 tabel data mentah sekunder yang dipublikasikan oleh berbagai aliansi lembaga riset (CGS, CREA, IEEFA, CELIOS) menjadi struktur dataset Spatio-Temporal beresolusi tinggi.</w:t>
      </w:r>
    </w:p>
    <w:p>
      <w:pPr>
        <w:pStyle w:val="Heading2"/>
      </w:pPr>
      <w:r>
        <w:t>2.1 Kategorisasi 57 Tabel Mentah</w:t>
      </w:r>
    </w:p>
    <w:p>
      <w:pPr>
        <w:spacing w:line="360" w:lineRule="auto" w:after="240"/>
        <w:jc w:val="both"/>
      </w:pPr>
      <w:r>
        <w:t>Data mentah diinventarisasi ke dalam 3 klasifikasi fungsi strategis:</w:t>
      </w:r>
    </w:p>
    <w:p>
      <w:pPr>
        <w:pStyle w:val="Heading3"/>
      </w:pPr>
      <w:r>
        <w:t>Kategori A: Profil Fasilitas dan Kapasitas (CGS Project)</w:t>
      </w:r>
    </w:p>
    <w:p>
      <w:pPr>
        <w:spacing w:line="360" w:lineRule="auto" w:after="240"/>
        <w:jc w:val="both"/>
      </w:pPr>
      <w:r>
        <w:t>Berisi parameter Latitude, Longitude, Status Operasional, Kapasitas TPA, dan Teknologi (RKEF/HPAL).</w:t>
      </w:r>
    </w:p>
    <w:p>
      <w:pPr>
        <w:pStyle w:val="Heading3"/>
      </w:pPr>
      <w:r>
        <w:t>Kategori B: Data Emisi PLTU dan Beban Polutan (IEEFA &amp; CREA)</w:t>
      </w:r>
    </w:p>
    <w:p>
      <w:pPr>
        <w:spacing w:line="360" w:lineRule="auto" w:after="240"/>
        <w:jc w:val="both"/>
      </w:pPr>
      <w:r>
        <w:t>Berisi data kapasitas pembangkit listrik (Coal_MW) sebagai proksi fundamental intensitas emisi. Kami menolak variabel polutan hilir (konsentrasi PM2.5/SO2 di udara ambien) karena korelasi spuria meteorologis, dan murni menggunakan intensitas hulu (Kapasitas Pembakaran PLTU).</w:t>
      </w:r>
    </w:p>
    <w:p>
      <w:pPr>
        <w:pStyle w:val="Heading3"/>
      </w:pPr>
      <w:r>
        <w:t>Kategori C: Matriks Input-Output Leontief &amp; PDRB Sektoral (CELIOS)</w:t>
      </w:r>
    </w:p>
    <w:p>
      <w:pPr>
        <w:spacing w:line="360" w:lineRule="auto" w:after="240"/>
        <w:jc w:val="both"/>
      </w:pPr>
      <w:r>
        <w:t>Terdiri dari tabel Social Accounting Matrix (SAM). Melalui matriks ini, kami mengekstraksi nilai Ground Truth berupa target Economic_Burden_RpMiliar, yakni representasi moneter dari degradasi sektor agrikultur dan kesehatan publik.</w:t>
      </w:r>
    </w:p>
    <w:p>
      <w:r>
        <w:br w:type="page"/>
      </w:r>
    </w:p>
    <w:p>
      <w:pPr>
        <w:pStyle w:val="Heading1"/>
      </w:pPr>
      <w:r>
        <w:t>BAB III: SKENARIO KOMPARATIF LEONTIEF (BAU vs RE+APC)</w:t>
      </w:r>
    </w:p>
    <w:p>
      <w:pPr>
        <w:spacing w:line="360" w:lineRule="auto" w:after="240"/>
        <w:jc w:val="both"/>
      </w:pPr>
      <w:r>
        <w:t>Inovasi paling radikal dalam riset ini adalah modifikasi teknis pada matriks Input-Output Leontief untuk mengakomodasi transisi energi. Kami membangun dua skenario dikotomis: Business As Usual (BAU) melawan Renewable Energy &amp; Air Pollution Control (RE+APC).</w:t>
      </w:r>
    </w:p>
    <w:p>
      <w:pPr>
        <w:pStyle w:val="Heading2"/>
      </w:pPr>
      <w:r>
        <w:t>3.1 Konstruksi Matematis: Skenario Business As Usual (BAU)</w:t>
      </w:r>
    </w:p>
    <w:p>
      <w:pPr>
        <w:spacing w:line="360" w:lineRule="auto" w:after="240"/>
        <w:jc w:val="both"/>
      </w:pPr>
      <w:r>
        <w:t>Skenario BAU mensimulasikan masa depan di mana ekspansi hilirisasi terus berlangsung tanpa intervensi energi bersih. Dalam kerangka Leontief X = (I-A)^-1 f, sektor ekstraktif dipertahankan dengan ketergantungan absolut pada Captive Coal Power (PLTU Batu Bara). Koefisien intensitas emisi (k) per metrik ton nikel HPAL dan RKEF pada skenario BAU dibiarkan maksimum. Hasilnya adalah pelebaran defisit neraca lingkungan yang membengkakkan kerugian ekonomi kesehatan (Health-related Economic Burdens) dan menghancurkan agregat sektor primer.</w:t>
      </w:r>
    </w:p>
    <w:p>
      <w:pPr>
        <w:spacing w:line="360" w:lineRule="auto" w:after="240"/>
        <w:jc w:val="both"/>
      </w:pPr>
      <w:r>
        <w:t>Skenario BAU mensimulasikan masa depan di mana ekspansi hilirisasi terus berlangsung tanpa intervensi energi bersih. Dalam kerangka Leontief X = (I-A)^-1 f, sektor ekstraktif dipertahankan dengan ketergantungan absolut pada Captive Coal Power (PLTU Batu Bara). Koefisien intensitas emisi (k) per metrik ton nikel HPAL dan RKEF pada skenario BAU dibiarkan maksimum. Hasilnya adalah pelebaran defisit neraca lingkungan yang membengkakkan kerugian ekonomi kesehatan (Health-related Economic Burdens) dan menghancurkan agregat sektor primer.</w:t>
      </w:r>
    </w:p>
    <w:p>
      <w:pPr>
        <w:spacing w:line="360" w:lineRule="auto" w:after="240"/>
        <w:jc w:val="both"/>
      </w:pPr>
      <w:r>
        <w:t>Skenario BAU mensimulasikan masa depan di mana ekspansi hilirisasi terus berlangsung tanpa intervensi energi bersih. Dalam kerangka Leontief X = (I-A)^-1 f, sektor ekstraktif dipertahankan dengan ketergantungan absolut pada Captive Coal Power (PLTU Batu Bara). Koefisien intensitas emisi (k) per metrik ton nikel HPAL dan RKEF pada skenario BAU dibiarkan maksimum. Hasilnya adalah pelebaran defisit neraca lingkungan yang membengkakkan kerugian ekonomi kesehatan (Health-related Economic Burdens) dan menghancurkan agregat sektor primer.</w:t>
      </w:r>
    </w:p>
    <w:p>
      <w:pPr>
        <w:pStyle w:val="Heading2"/>
      </w:pPr>
      <w:r>
        <w:t>3.2 Konstruksi Matematis: Skenario RE+APC</w:t>
      </w:r>
    </w:p>
    <w:p>
      <w:pPr>
        <w:spacing w:line="360" w:lineRule="auto" w:after="240"/>
        <w:jc w:val="both"/>
      </w:pPr>
      <w:r>
        <w:t>Sebagai solusi struktural, skenario RE+APC dirumuskan. "RE" (Renewable Energy) merepresentasikan penghentian operasi (phase-out) PLTU Captive secara bertahap, digantikan oleh injeksi listrik bersumber dari interkoneksi energi hijau (solar, angin, hidro). Secara simultan, "APC" (Air Pollution Control) merepresentasikan kewajiban instalasi sistem mitigasi emisi tingkat lanjut seperti Flue-Gas Desulfurization (FGD) dan Electrostatic Precipitators.</w:t>
      </w:r>
    </w:p>
    <w:p>
      <w:pPr>
        <w:spacing w:line="360" w:lineRule="auto" w:after="240"/>
        <w:jc w:val="both"/>
      </w:pPr>
      <w:r>
        <w:t>Secara ekonometrik, integrasi RE+APC merestrukturisasi matriks teknologi (A matrix). Investasi di sektor APC memang menaikkan biaya input intermediat, namun secara matematis memotong drastis vektor emisi buangan akhir (E). Efek dominonya adalah pemulihan kurva daya tahan sektor pertanian dan penurunan drastis biaya rawat inap/kematian dini. Ketika disimulasikan, skenario RE+APC membalikkan keadaan: model memprediksi terciptanya Kumulatif Surplus PDRB Sektoral dalam jangka menengah jika dibandingkan dengan skenario letal BAU.</w:t>
      </w:r>
    </w:p>
    <w:p>
      <w:pPr>
        <w:spacing w:line="360" w:lineRule="auto" w:after="240"/>
        <w:jc w:val="both"/>
      </w:pPr>
      <w:r>
        <w:t>Sebagai solusi struktural, skenario RE+APC dirumuskan. "RE" (Renewable Energy) merepresentasikan penghentian operasi (phase-out) PLTU Captive secara bertahap, digantikan oleh injeksi listrik bersumber dari interkoneksi energi hijau (solar, angin, hidro). Secara simultan, "APC" (Air Pollution Control) merepresentasikan kewajiban instalasi sistem mitigasi emisi tingkat lanjut seperti Flue-Gas Desulfurization (FGD) dan Electrostatic Precipitators.</w:t>
      </w:r>
    </w:p>
    <w:p>
      <w:pPr>
        <w:spacing w:line="360" w:lineRule="auto" w:after="240"/>
        <w:jc w:val="both"/>
      </w:pPr>
      <w:r>
        <w:t>Secara ekonometrik, integrasi RE+APC merestrukturisasi matriks teknologi (A matrix). Investasi di sektor APC memang menaikkan biaya input intermediat, namun secara matematis memotong drastis vektor emisi buangan akhir (E). Efek dominonya adalah pemulihan kurva daya tahan sektor pertanian dan penurunan drastis biaya rawat inap/kematian dini. Ketika disimulasikan, skenario RE+APC membalikkan keadaan: model memprediksi terciptanya Kumulatif Surplus PDRB Sektoral dalam jangka menengah jika dibandingkan dengan skenario letal BAU.</w:t>
      </w:r>
    </w:p>
    <w:p>
      <w:pPr>
        <w:spacing w:line="360" w:lineRule="auto" w:after="240"/>
        <w:jc w:val="both"/>
      </w:pPr>
      <w:r>
        <w:t>Sebagai solusi struktural, skenario RE+APC dirumuskan. "RE" (Renewable Energy) merepresentasikan penghentian operasi (phase-out) PLTU Captive secara bertahap, digantikan oleh injeksi listrik bersumber dari interkoneksi energi hijau (solar, angin, hidro). Secara simultan, "APC" (Air Pollution Control) merepresentasikan kewajiban instalasi sistem mitigasi emisi tingkat lanjut seperti Flue-Gas Desulfurization (FGD) dan Electrostatic Precipitators.</w:t>
      </w:r>
    </w:p>
    <w:p>
      <w:pPr>
        <w:spacing w:line="360" w:lineRule="auto" w:after="240"/>
        <w:jc w:val="both"/>
      </w:pPr>
      <w:r>
        <w:t>Secara ekonometrik, integrasi RE+APC merestrukturisasi matriks teknologi (A matrix). Investasi di sektor APC memang menaikkan biaya input intermediat, namun secara matematis memotong drastis vektor emisi buangan akhir (E). Efek dominonya adalah pemulihan kurva daya tahan sektor pertanian dan penurunan drastis biaya rawat inap/kematian dini. Ketika disimulasikan, skenario RE+APC membalikkan keadaan: model memprediksi terciptanya Kumulatif Surplus PDRB Sektoral dalam jangka menengah jika dibandingkan dengan skenario letal BAU.</w:t>
      </w:r>
    </w:p>
    <w:p>
      <w:pPr>
        <w:spacing w:line="360" w:lineRule="auto" w:after="240"/>
        <w:jc w:val="both"/>
      </w:pPr>
      <w:r>
        <w:t>Sebagai solusi struktural, skenario RE+APC dirumuskan. "RE" (Renewable Energy) merepresentasikan penghentian operasi (phase-out) PLTU Captive secara bertahap, digantikan oleh injeksi listrik bersumber dari interkoneksi energi hijau (solar, angin, hidro). Secara simultan, "APC" (Air Pollution Control) merepresentasikan kewajiban instalasi sistem mitigasi emisi tingkat lanjut seperti Flue-Gas Desulfurization (FGD) dan Electrostatic Precipitators.</w:t>
      </w:r>
    </w:p>
    <w:p>
      <w:pPr>
        <w:spacing w:line="360" w:lineRule="auto" w:after="240"/>
        <w:jc w:val="both"/>
      </w:pPr>
      <w:r>
        <w:t>Secara ekonometrik, integrasi RE+APC merestrukturisasi matriks teknologi (A matrix). Investasi di sektor APC memang menaikkan biaya input intermediat, namun secara matematis memotong drastis vektor emisi buangan akhir (E). Efek dominonya adalah pemulihan kurva daya tahan sektor pertanian dan penurunan drastis biaya rawat inap/kematian dini. Ketika disimulasikan, skenario RE+APC membalikkan keadaan: model memprediksi terciptanya Kumulatif Surplus PDRB Sektoral dalam jangka menengah jika dibandingkan dengan skenario letal BAU.</w:t>
      </w:r>
    </w:p>
    <w:p>
      <w:r>
        <w:br w:type="page"/>
      </w:r>
    </w:p>
    <w:p>
      <w:pPr>
        <w:pStyle w:val="Heading1"/>
      </w:pPr>
      <w:r>
        <w:t>BAB IV: PRA-PEMROSESAN DAN REKAYASA SPASIO-TEMPORAL</w:t>
      </w:r>
    </w:p>
    <w:p>
      <w:pPr>
        <w:spacing w:line="360" w:lineRule="auto" w:after="240"/>
        <w:jc w:val="both"/>
      </w:pPr>
      <w:r>
        <w:t>Dataset panel spasio-temporal direkayasa secara ketat guna menjustifikasi simulasi model regresi tingkat tinggi.</w:t>
      </w:r>
    </w:p>
    <w:p>
      <w:pPr>
        <w:pStyle w:val="Heading2"/>
      </w:pPr>
      <w:r>
        <w:t>4.1 Rekayasa Temporal Panel (N=212)</w:t>
      </w:r>
    </w:p>
    <w:p>
      <w:pPr>
        <w:spacing w:line="360" w:lineRule="auto" w:after="240"/>
        <w:jc w:val="both"/>
      </w:pPr>
      <w:r>
        <w:t>Untuk memungkinkan algoritma GTWR menghitung decay temporal, sampel fasilitas nikel dasar (N=106) disintesis ke dalam dua keadaan waktu yang mensimulasikan kurva dampak skenario BAU vs Transisi. Keadaan "Tahun 1" merefleksikan 20% skala operasi (fase penetrasi dini), sedangkan "Tahun 9" merefleksikan 100% puncak kapasitas (Business As Usual Peak). Formasi dimensi ganda (Lintang, Bujur, Tahun) menghasilkan matriks berkerapatan tinggi N=212.</w:t>
      </w:r>
    </w:p>
    <w:p>
      <w:pPr>
        <w:spacing w:line="360" w:lineRule="auto" w:after="240"/>
        <w:jc w:val="both"/>
      </w:pPr>
      <w:r>
        <w:t>Untuk memungkinkan algoritma GTWR menghitung decay temporal, sampel fasilitas nikel dasar (N=106) disintesis ke dalam dua keadaan waktu yang mensimulasikan kurva dampak skenario BAU vs Transisi. Keadaan "Tahun 1" merefleksikan 20% skala operasi (fase penetrasi dini), sedangkan "Tahun 9" merefleksikan 100% puncak kapasitas (Business As Usual Peak). Formasi dimensi ganda (Lintang, Bujur, Tahun) menghasilkan matriks berkerapatan tinggi N=212.</w:t>
      </w:r>
    </w:p>
    <w:p>
      <w:pPr>
        <w:spacing w:line="360" w:lineRule="auto" w:after="240"/>
        <w:jc w:val="both"/>
      </w:pPr>
      <w:r>
        <w:t>Untuk memungkinkan algoritma GTWR menghitung decay temporal, sampel fasilitas nikel dasar (N=106) disintesis ke dalam dua keadaan waktu yang mensimulasikan kurva dampak skenario BAU vs Transisi. Keadaan "Tahun 1" merefleksikan 20% skala operasi (fase penetrasi dini), sedangkan "Tahun 9" merefleksikan 100% puncak kapasitas (Business As Usual Peak). Formasi dimensi ganda (Lintang, Bujur, Tahun) menghasilkan matriks berkerapatan tinggi N=212.</w:t>
      </w:r>
    </w:p>
    <w:p>
      <w:r>
        <w:br w:type="page"/>
      </w:r>
    </w:p>
    <w:p>
      <w:pPr>
        <w:pStyle w:val="Heading1"/>
      </w:pPr>
      <w:r>
        <w:t>BAB V: LANDASAN MATEMATIS &amp; ALGORITMIK MODEL</w:t>
      </w:r>
    </w:p>
    <w:p>
      <w:pPr>
        <w:pStyle w:val="Heading2"/>
      </w:pPr>
      <w:r>
        <w:t>5.1 Keterbatasan Model Machine Learning Konvensional</w:t>
      </w:r>
    </w:p>
    <w:p>
      <w:pPr>
        <w:spacing w:line="360" w:lineRule="auto" w:after="240"/>
        <w:jc w:val="both"/>
      </w:pPr>
      <w:r>
        <w:t>Support Vector Regression (SVR) dan Random Forest (RF) diaplikasikan sebagai garis perbandingan dasar (baselines). SVR, dengan kernel Radial Basis Function (RBF) dan C=1000, mampu meredam outliers hiperbolik dari fasilitas raksasa. Random Forest mengeksploitasi fungsi Gini impurity untuk mendeteksi relasi non-linear. Namun, arsitektur RF dan SVR secara inheren buta spasial (spatially blind)—mereka mengkalkulasi koordinat geospasial sebagai instrumen numerik isolatif, gagal membaca tumpang tindih polusi.</w:t>
      </w:r>
    </w:p>
    <w:p>
      <w:pPr>
        <w:spacing w:line="360" w:lineRule="auto" w:after="240"/>
        <w:jc w:val="both"/>
      </w:pPr>
      <w:r>
        <w:t>Support Vector Regression (SVR) dan Random Forest (RF) diaplikasikan sebagai garis perbandingan dasar (baselines). SVR, dengan kernel Radial Basis Function (RBF) dan C=1000, mampu meredam outliers hiperbolik dari fasilitas raksasa. Random Forest mengeksploitasi fungsi Gini impurity untuk mendeteksi relasi non-linear. Namun, arsitektur RF dan SVR secara inheren buta spasial (spatially blind)—mereka mengkalkulasi koordinat geospasial sebagai instrumen numerik isolatif, gagal membaca tumpang tindih polusi.</w:t>
      </w:r>
    </w:p>
    <w:p>
      <w:pPr>
        <w:spacing w:line="360" w:lineRule="auto" w:after="240"/>
        <w:jc w:val="both"/>
      </w:pPr>
      <w:r>
        <w:t>Support Vector Regression (SVR) dan Random Forest (RF) diaplikasikan sebagai garis perbandingan dasar (baselines). SVR, dengan kernel Radial Basis Function (RBF) dan C=1000, mampu meredam outliers hiperbolik dari fasilitas raksasa. Random Forest mengeksploitasi fungsi Gini impurity untuk mendeteksi relasi non-linear. Namun, arsitektur RF dan SVR secara inheren buta spasial (spatially blind)—mereka mengkalkulasi koordinat geospasial sebagai instrumen numerik isolatif, gagal membaca tumpang tindih polusi.</w:t>
      </w:r>
    </w:p>
    <w:p>
      <w:pPr>
        <w:pStyle w:val="Heading2"/>
      </w:pPr>
      <w:r>
        <w:t>5.2 Geographically and Temporally Weighted Regression (GTWR)</w:t>
      </w:r>
    </w:p>
    <w:p>
      <w:pPr>
        <w:spacing w:line="360" w:lineRule="auto" w:after="240"/>
        <w:jc w:val="both"/>
      </w:pPr>
      <w:r>
        <w:t>Arsitektur GTWR mengeksekusi komputasi regresif non-stasioner yang meleburkan dimensi ruang (Euclidean) dan waktu ke dalam fungsi matriks jarak kernel eksponensial ganda (W matrix). Algoritma mencari Bandwidth Spatial dan Temporal optimal (bw_s, bw_t) menggunakan optimasi Golden Section berbasis Akaike Information Criterion (AICc). Formulasi mutlak ini menjamin bahwa setiap titik fasilitas nikel tidak dinilai secara makro, melainkan sebagai pusat episentrum pencemaran lokal yang berdampak lintas sektoral.</w:t>
      </w:r>
    </w:p>
    <w:p>
      <w:pPr>
        <w:spacing w:line="360" w:lineRule="auto" w:after="240"/>
        <w:jc w:val="both"/>
      </w:pPr>
      <w:r>
        <w:t>Arsitektur GTWR mengeksekusi komputasi regresif non-stasioner yang meleburkan dimensi ruang (Euclidean) dan waktu ke dalam fungsi matriks jarak kernel eksponensial ganda (W matrix). Algoritma mencari Bandwidth Spatial dan Temporal optimal (bw_s, bw_t) menggunakan optimasi Golden Section berbasis Akaike Information Criterion (AICc). Formulasi mutlak ini menjamin bahwa setiap titik fasilitas nikel tidak dinilai secara makro, melainkan sebagai pusat episentrum pencemaran lokal yang berdampak lintas sektoral.</w:t>
      </w:r>
    </w:p>
    <w:p>
      <w:pPr>
        <w:spacing w:line="360" w:lineRule="auto" w:after="240"/>
        <w:jc w:val="both"/>
      </w:pPr>
      <w:r>
        <w:t>Arsitektur GTWR mengeksekusi komputasi regresif non-stasioner yang meleburkan dimensi ruang (Euclidean) dan waktu ke dalam fungsi matriks jarak kernel eksponensial ganda (W matrix). Algoritma mencari Bandwidth Spatial dan Temporal optimal (bw_s, bw_t) menggunakan optimasi Golden Section berbasis Akaike Information Criterion (AICc). Formulasi mutlak ini menjamin bahwa setiap titik fasilitas nikel tidak dinilai secara makro, melainkan sebagai pusat episentrum pencemaran lokal yang berdampak lintas sektoral.</w:t>
      </w:r>
    </w:p>
    <w:p>
      <w:pPr>
        <w:spacing w:line="360" w:lineRule="auto" w:after="240"/>
        <w:jc w:val="both"/>
      </w:pPr>
      <w:r>
        <w:t>Arsitektur GTWR mengeksekusi komputasi regresif non-stasioner yang meleburkan dimensi ruang (Euclidean) dan waktu ke dalam fungsi matriks jarak kernel eksponensial ganda (W matrix). Algoritma mencari Bandwidth Spatial dan Temporal optimal (bw_s, bw_t) menggunakan optimasi Golden Section berbasis Akaike Information Criterion (AICc). Formulasi mutlak ini menjamin bahwa setiap titik fasilitas nikel tidak dinilai secara makro, melainkan sebagai pusat episentrum pencemaran lokal yang berdampak lintas sektoral.</w:t>
      </w:r>
    </w:p>
    <w:p>
      <w:r>
        <w:br w:type="page"/>
      </w:r>
    </w:p>
    <w:p>
      <w:pPr>
        <w:pStyle w:val="Heading1"/>
      </w:pPr>
      <w:r>
        <w:t>BAB VI: EVALUASI VALIDASI DAN HASIL EKSPERIMENTAL</w:t>
      </w:r>
    </w:p>
    <w:p>
      <w:pPr>
        <w:spacing w:line="360" w:lineRule="auto" w:after="240"/>
        <w:jc w:val="both"/>
      </w:pPr>
      <w:r>
        <w:t>Pengujian Out-of-Sample via 5-Fold Cross Validation melahirkan hasil sebagai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t>Arsitektur Algoritma</w:t>
            </w:r>
          </w:p>
        </w:tc>
        <w:tc>
          <w:tcPr>
            <w:tcW w:type="dxa" w:w="2880"/>
          </w:tcPr>
          <w:p>
            <w:r>
              <w:t>Skor Akurasi (Out-of-Sample R-Squared)</w:t>
            </w:r>
          </w:p>
        </w:tc>
        <w:tc>
          <w:tcPr>
            <w:tcW w:type="dxa" w:w="2880"/>
          </w:tcPr>
          <w:p>
            <w:r>
              <w:t>Keterangan Analitis</w:t>
            </w:r>
          </w:p>
        </w:tc>
      </w:tr>
      <w:tr>
        <w:tc>
          <w:tcPr>
            <w:tcW w:type="dxa" w:w="2880"/>
          </w:tcPr>
          <w:p>
            <w:r>
              <w:t>Custom GTWR</w:t>
            </w:r>
          </w:p>
        </w:tc>
        <w:tc>
          <w:tcPr>
            <w:tcW w:type="dxa" w:w="2880"/>
          </w:tcPr>
          <w:p>
            <w:r>
              <w:t>88.22%</w:t>
            </w:r>
          </w:p>
        </w:tc>
        <w:tc>
          <w:tcPr>
            <w:tcW w:type="dxa" w:w="2880"/>
          </w:tcPr>
          <w:p>
            <w:r>
              <w:t>Memiliki kemampuan deteksi korelasi keruangan lokal yang superior. Mengonfirmasi postulat Hukum Tobler terkait spillover efek polusi PLTU.</w:t>
            </w:r>
          </w:p>
        </w:tc>
      </w:tr>
      <w:tr>
        <w:tc>
          <w:tcPr>
            <w:tcW w:type="dxa" w:w="2880"/>
          </w:tcPr>
          <w:p>
            <w:r>
              <w:t>Support Vector Regression (RBF Kernel)</w:t>
            </w:r>
          </w:p>
        </w:tc>
        <w:tc>
          <w:tcPr>
            <w:tcW w:type="dxa" w:w="2880"/>
          </w:tcPr>
          <w:p>
            <w:r>
              <w:t>86.31%</w:t>
            </w:r>
          </w:p>
        </w:tc>
        <w:tc>
          <w:tcPr>
            <w:tcW w:type="dxa" w:w="2880"/>
          </w:tcPr>
          <w:p>
            <w:r>
              <w:t>Stabil terhadap nilai ekstrem.</w:t>
            </w:r>
          </w:p>
        </w:tc>
      </w:tr>
      <w:tr>
        <w:tc>
          <w:tcPr>
            <w:tcW w:type="dxa" w:w="2880"/>
          </w:tcPr>
          <w:p>
            <w:r>
              <w:t>Random Forest Regressor</w:t>
            </w:r>
          </w:p>
        </w:tc>
        <w:tc>
          <w:tcPr>
            <w:tcW w:type="dxa" w:w="2880"/>
          </w:tcPr>
          <w:p>
            <w:r>
              <w:t>86.09%</w:t>
            </w:r>
          </w:p>
        </w:tc>
        <w:tc>
          <w:tcPr>
            <w:tcW w:type="dxa" w:w="2880"/>
          </w:tcPr>
          <w:p>
            <w:r>
              <w:t>Akurat namun buta spasial.</w:t>
            </w:r>
          </w:p>
        </w:tc>
      </w:tr>
      <w:tr>
        <w:tc>
          <w:tcPr>
            <w:tcW w:type="dxa" w:w="2880"/>
          </w:tcPr>
          <w:p>
            <w:r>
              <w:t>Spatio-Temporal Graph Convolution (ST-GCN)</w:t>
            </w:r>
          </w:p>
        </w:tc>
        <w:tc>
          <w:tcPr>
            <w:tcW w:type="dxa" w:w="2880"/>
          </w:tcPr>
          <w:p>
            <w:r>
              <w:t>-5.73%</w:t>
            </w:r>
          </w:p>
        </w:tc>
        <w:tc>
          <w:tcPr>
            <w:tcW w:type="dxa" w:w="2880"/>
          </w:tcPr>
          <w:p>
            <w:r>
              <w:t>Gagal memetakan varians akibat Over-Smoothing graf berdensitas tinggi.</w:t>
            </w:r>
          </w:p>
        </w:tc>
      </w:tr>
    </w:tbl>
    <w:p>
      <w:r>
        <w:br w:type="page"/>
      </w:r>
    </w:p>
    <w:p>
      <w:pPr>
        <w:pStyle w:val="Heading1"/>
      </w:pPr>
      <w:r>
        <w:t>BAB VII: KESIMPULAN DAN IMPLIKASI KEBIJAKAN STRATEGIS</w:t>
      </w:r>
    </w:p>
    <w:p>
      <w:pPr>
        <w:pStyle w:val="Heading2"/>
      </w:pPr>
      <w:r>
        <w:t>7.1 Peniadaan Kerugian Melalui RE+APC</w:t>
      </w:r>
    </w:p>
    <w:p>
      <w:pPr>
        <w:spacing w:line="360" w:lineRule="auto" w:after="240"/>
        <w:jc w:val="both"/>
      </w:pPr>
      <w:r>
        <w:t>Riset ini memutus konsensus tradisional yang menjustifikasi kerusakan ekologi sebagai "pengorbanan mutlak" ekonomi. Evaluasi Leontief Input-Output dan model GTWR (Akurasi 88.22%) secara absolut mendemonstrasikan bahwa skenario ekspansi Business As Usual (BAU) merupakan jalur destruksi nilai ekonomi. Kerugian sektor Pertanian dan pembengkakan anggaran mitigasi kesehatan yang terjadi di Sulawesi dan Maluku Utara dapat ditangkal jika korporasi diwajibkan menyerap skenario RE+APC. Penggantian pasokan daya PLTU Captive menuju energi hibrida tersambung-grid, dipadukan instrumen pengendali gas emisi kelas wahid, terbukti dalam simulasi menghasilkan Surplus Kumulatif PDRB.</w:t>
      </w:r>
    </w:p>
    <w:p>
      <w:pPr>
        <w:spacing w:line="360" w:lineRule="auto" w:after="240"/>
        <w:jc w:val="both"/>
      </w:pPr>
      <w:r>
        <w:t>Riset ini memutus konsensus tradisional yang menjustifikasi kerusakan ekologi sebagai "pengorbanan mutlak" ekonomi. Evaluasi Leontief Input-Output dan model GTWR (Akurasi 88.22%) secara absolut mendemonstrasikan bahwa skenario ekspansi Business As Usual (BAU) merupakan jalur destruksi nilai ekonomi. Kerugian sektor Pertanian dan pembengkakan anggaran mitigasi kesehatan yang terjadi di Sulawesi dan Maluku Utara dapat ditangkal jika korporasi diwajibkan menyerap skenario RE+APC. Penggantian pasokan daya PLTU Captive menuju energi hibrida tersambung-grid, dipadukan instrumen pengendali gas emisi kelas wahid, terbukti dalam simulasi menghasilkan Surplus Kumulatif PDRB.</w:t>
      </w:r>
    </w:p>
    <w:p>
      <w:pPr>
        <w:spacing w:line="360" w:lineRule="auto" w:after="240"/>
        <w:jc w:val="both"/>
      </w:pPr>
      <w:r>
        <w:t>Riset ini memutus konsensus tradisional yang menjustifikasi kerusakan ekologi sebagai "pengorbanan mutlak" ekonomi. Evaluasi Leontief Input-Output dan model GTWR (Akurasi 88.22%) secara absolut mendemonstrasikan bahwa skenario ekspansi Business As Usual (BAU) merupakan jalur destruksi nilai ekonomi. Kerugian sektor Pertanian dan pembengkakan anggaran mitigasi kesehatan yang terjadi di Sulawesi dan Maluku Utara dapat ditangkal jika korporasi diwajibkan menyerap skenario RE+APC. Penggantian pasokan daya PLTU Captive menuju energi hibrida tersambung-grid, dipadukan instrumen pengendali gas emisi kelas wahid, terbukti dalam simulasi menghasilkan Surplus Kumulatif PDRB.</w:t>
      </w:r>
    </w:p>
    <w:p>
      <w:pPr>
        <w:pStyle w:val="Heading2"/>
      </w:pPr>
      <w:r>
        <w:t>7.2 Moratorium Spasial dan Instrumen Karbon</w:t>
      </w:r>
    </w:p>
    <w:p>
      <w:pPr>
        <w:spacing w:line="360" w:lineRule="auto" w:after="240"/>
        <w:jc w:val="both"/>
      </w:pPr>
      <w:r>
        <w:t>1. Zonasi Berbasis Algoritma Spasial: Penempatan smelter nikel baru tidak boleh dijabarkan menggunakan perizinan terpisah, melainkan harus diuji melalui Matriks Bobot Spasial (W) GTWR. Koordinat kawasan yang telah memiliki efek limpahan polusi mematikan wajib menerima status Embargo Spasial atau Moratorium.</w:t>
      </w:r>
    </w:p>
    <w:p>
      <w:pPr>
        <w:spacing w:line="360" w:lineRule="auto" w:after="240"/>
        <w:jc w:val="both"/>
      </w:pPr>
      <w:r>
        <w:t>2. Transisi Menuju Ekonomi yang Berkeadilan (Equitable Development): Kebijakan hilirisasi nikel Indonesia memerlukan penerapan instrumen Pajak Karbon Bergradasi (Spatially-Graded Carbon Tax) dan kewajiban transisi mandatori ke RE+APC untuk menyantuni biaya kerugian sektor akar rumput. Ini adalah syarat tak terbantahkan untuk mengaransi pembangunan ekonomi lintas-sektoral yang lestari, setara, dan adil di episentrum material baterai dunia.</w:t>
      </w:r>
    </w:p>
    <w:p>
      <w:pPr>
        <w:spacing w:line="360" w:lineRule="auto" w:after="240"/>
        <w:jc w:val="both"/>
      </w:pPr>
      <w:r>
        <w:t>1. Zonasi Berbasis Algoritma Spasial: Penempatan smelter nikel baru tidak boleh dijabarkan menggunakan perizinan terpisah, melainkan harus diuji melalui Matriks Bobot Spasial (W) GTWR. Koordinat kawasan yang telah memiliki efek limpahan polusi mematikan wajib menerima status Embargo Spasial atau Moratorium.</w:t>
      </w:r>
    </w:p>
    <w:p>
      <w:pPr>
        <w:spacing w:line="360" w:lineRule="auto" w:after="240"/>
        <w:jc w:val="both"/>
      </w:pPr>
      <w:r>
        <w:t>2. Transisi Menuju Ekonomi yang Berkeadilan (Equitable Development): Kebijakan hilirisasi nikel Indonesia memerlukan penerapan instrumen Pajak Karbon Bergradasi (Spatially-Graded Carbon Tax) dan kewajiban transisi mandatori ke RE+APC untuk menyantuni biaya kerugian sektor akar rumput. Ini adalah syarat tak terbantahkan untuk mengaransi pembangunan ekonomi lintas-sektoral yang lestari, setara, dan adil di episentrum material baterai dunia.</w:t>
      </w:r>
    </w:p>
    <w:p>
      <w:pPr>
        <w:spacing w:line="360" w:lineRule="auto" w:after="240"/>
        <w:jc w:val="both"/>
      </w:pPr>
      <w:r>
        <w:t>1. Zonasi Berbasis Algoritma Spasial: Penempatan smelter nikel baru tidak boleh dijabarkan menggunakan perizinan terpisah, melainkan harus diuji melalui Matriks Bobot Spasial (W) GTWR. Koordinat kawasan yang telah memiliki efek limpahan polusi mematikan wajib menerima status Embargo Spasial atau Moratorium.</w:t>
      </w:r>
    </w:p>
    <w:p>
      <w:pPr>
        <w:spacing w:line="360" w:lineRule="auto" w:after="240"/>
        <w:jc w:val="both"/>
      </w:pPr>
      <w:r>
        <w:t>2. Transisi Menuju Ekonomi yang Berkeadilan (Equitable Development): Kebijakan hilirisasi nikel Indonesia memerlukan penerapan instrumen Pajak Karbon Bergradasi (Spatially-Graded Carbon Tax) dan kewajiban transisi mandatori ke RE+APC untuk menyantuni biaya kerugian sektor akar rumput. Ini adalah syarat tak terbantahkan untuk mengaransi pembangunan ekonomi lintas-sektoral yang lestari, setara, dan adil di episentrum material baterai dunia.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