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askah-akademik-ekstensif"/>
    <w:p>
      <w:pPr>
        <w:pStyle w:val="Heading1"/>
      </w:pPr>
      <w:r>
        <w:t xml:space="preserve">NASKAH AKADEMIK EKSTENSIF</w:t>
      </w:r>
    </w:p>
    <w:bookmarkEnd w:id="20"/>
    <w:bookmarkStart w:id="39" w:name="X3b0767905a41bc3cf6a976988de086fef59a0ac"/>
    <w:p>
      <w:pPr>
        <w:pStyle w:val="Heading1"/>
      </w:pPr>
      <w:r>
        <w:t xml:space="preserve">SPATIO-TEMPORAL IMPACTS OF ENERGY TRANSITION IN INDONESIA’S NICKEL PROCESSING INDUSTRY ON SECTORAL GRDP:</w:t>
      </w:r>
    </w:p>
    <w:bookmarkStart w:id="21" w:name="X772e105233414da2e0c11b1f26fa1802e196af1"/>
    <w:p>
      <w:pPr>
        <w:pStyle w:val="Heading2"/>
      </w:pPr>
      <w:r>
        <w:t xml:space="preserve">A GTWR AND LEONTIEF INPUT-OUTPUT APPROACH</w:t>
      </w:r>
    </w:p>
    <w:p>
      <w:pPr>
        <w:pStyle w:val="FirstParagraph"/>
      </w:pPr>
      <w:r>
        <w:rPr>
          <w:b/>
          <w:bCs/>
        </w:rPr>
        <w:t xml:space="preserve">Disusun oleh:</w:t>
      </w:r>
      <w:r>
        <w:t xml:space="preserve"> </w:t>
      </w:r>
      <w:r>
        <w:rPr>
          <w:b/>
          <w:bCs/>
        </w:rPr>
        <w:t xml:space="preserve">Anwar Rohmadi, Ahmad Ruhayani Azis, Haya Nur Fadhilah, Zulfanita Dien Rizqiana</w:t>
      </w:r>
      <w:r>
        <w:t xml:space="preserve"> </w:t>
      </w:r>
      <w:r>
        <w:t xml:space="preserve">Program Studi Sains Data, Universitas Islam Negeri Raden Mas Said Surakarta</w:t>
      </w:r>
      <w:r>
        <w:t xml:space="preserve"> </w:t>
      </w:r>
      <w:r>
        <w:t xml:space="preserve">Surakarta, 57168</w:t>
      </w:r>
    </w:p>
    <w:p>
      <w:r>
        <w:pict>
          <v:rect style="width:0;height:1.5pt" o:hralign="center" o:hrstd="t" o:hr="t"/>
        </w:pict>
      </w:r>
    </w:p>
    <w:bookmarkEnd w:id="21"/>
    <w:bookmarkStart w:id="22" w:name="abstract"/>
    <w:p>
      <w:pPr>
        <w:pStyle w:val="Heading2"/>
      </w:pPr>
      <w:r>
        <w:t xml:space="preserve">ABSTRACT</w:t>
      </w:r>
    </w:p>
    <w:p>
      <w:pPr>
        <w:pStyle w:val="FirstParagraph"/>
      </w:pPr>
      <w:r>
        <w:rPr>
          <w:i/>
          <w:iCs/>
        </w:rPr>
        <w:t xml:space="preserve">Indonesia’s nickel downstreaming policy has driven a rapid expansion of metal production capacity, accompanied by a sharp increase in greenhouse gas emissions from captive coal-fired power plants supplying nickel processing industrial parks in Sulawesi and North Maluku. This study examines the spatio-temporal impacts of nickel processing emissions on sectoral Gross Regional Domestic Product (GRDP) in Indonesia. An emissions dataset is constructed from active and under-construction nickel smelting facilities in North Maluku, Central Sulawesi, and Southeast Sulawesi, focusing on Rotary Kiln Electric Furnace (RKEF) and High Pressure Acid Leach (HPAL) processes with distinct emission intensities. A Geographically and Temporally Weighted Regression (GTWR) framework is employed to analyse spatio-temporal relationships between emission intensity, energy mix, and sectoral GRDP performance. In addition, a nine-sector Leontief Input-Output model is used to compare two policy scenarios, namely Business as Usual (BAU) and Renewable Energy &amp; Air Pollution Control (RE+APC). The simulations indicate that the BAU scenario amplifies economic losses in vulnerable primary sectors, particularly agriculture, and increases health-related economic burdens due to air pollution. In contrast, the RE+APC scenario reduces emission intensity per tonne of nickel, lowers GRDP losses in affected sectors, and generates a cumulative sectoral GRDP surplus relative to BAU over the medium term. These findings highlight the importance of accelerating the energy transition in major nickel hubs to ensure that downstreaming supports more sustainable and equitable cross-sectoral economic development.</w:t>
      </w:r>
    </w:p>
    <w:p>
      <w:pPr>
        <w:pStyle w:val="BodyText"/>
      </w:pPr>
      <w:r>
        <w:rPr>
          <w:b/>
          <w:bCs/>
        </w:rPr>
        <w:t xml:space="preserve">Keywords:</w:t>
      </w:r>
      <w:r>
        <w:t xml:space="preserve"> </w:t>
      </w:r>
      <w:r>
        <w:t xml:space="preserve">Captive Coal Power; Energy Transition; GTWR; Nickel Downstreaming; Sectoral GRDP.</w:t>
      </w:r>
    </w:p>
    <w:p>
      <w:r>
        <w:pict>
          <v:rect style="width:0;height:1.5pt" o:hralign="center" o:hrstd="t" o:hr="t"/>
        </w:pict>
      </w:r>
    </w:p>
    <w:bookmarkEnd w:id="22"/>
    <w:bookmarkStart w:id="25" w:name="bab-i-pendahuluan-dan-kerangka-teori"/>
    <w:p>
      <w:pPr>
        <w:pStyle w:val="Heading2"/>
      </w:pPr>
      <w:r>
        <w:t xml:space="preserve">BAB I: PENDAHULUAN DAN KERANGKA TEORI</w:t>
      </w:r>
    </w:p>
    <w:bookmarkStart w:id="23" w:name="latar-belakang-transisi-energi-global"/>
    <w:p>
      <w:pPr>
        <w:pStyle w:val="Heading3"/>
      </w:pPr>
      <w:r>
        <w:t xml:space="preserve">1.1 Latar Belakang Transisi Energi Global</w:t>
      </w:r>
    </w:p>
    <w:p>
      <w:pPr>
        <w:pStyle w:val="FirstParagraph"/>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pStyle w:val="BodyText"/>
      </w:pP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pStyle w:val="BodyText"/>
      </w:pP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pStyle w:val="BodyText"/>
      </w:pP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pStyle w:val="BodyText"/>
      </w:pP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pStyle w:val="BodyText"/>
      </w:pP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pStyle w:val="BodyText"/>
      </w:pP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pStyle w:val="BodyText"/>
      </w:pP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pStyle w:val="BodyText"/>
      </w:pP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bookmarkEnd w:id="23"/>
    <w:bookmarkStart w:id="24" w:name="X53c8c6fcd34ad93ea3a64e96dfb8e4c69539a0a"/>
    <w:p>
      <w:pPr>
        <w:pStyle w:val="Heading3"/>
      </w:pPr>
      <w:r>
        <w:t xml:space="preserve">1.2 Teori Efek Limpahan (Spillover) dan Hukum Geografi Tobler</w:t>
      </w:r>
    </w:p>
    <w:p>
      <w:pPr>
        <w:pStyle w:val="FirstParagraph"/>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bookmarkEnd w:id="24"/>
    <w:bookmarkEnd w:id="25"/>
    <w:bookmarkStart w:id="29" w:name="X59200f1b761b1306e80a2088fdecef4ed7c9a7f"/>
    <w:p>
      <w:pPr>
        <w:pStyle w:val="Heading2"/>
      </w:pPr>
      <w:r>
        <w:t xml:space="preserve">BAB II: KAMUS VARIABEL 57 TABEL DAN AKUISISI DATA</w:t>
      </w:r>
    </w:p>
    <w:p>
      <w:pPr>
        <w:pStyle w:val="FirstParagraph"/>
      </w:pPr>
      <w:r>
        <w:t xml:space="preserve">Kompilasi penelitian ini mewajibkan penggabungan 57 tabel data sekunder yang terpencar di berbagai institusi. Tabel-tabel tersebut diproses dan diekstraksi menjadi sebuah Dataset Spatio-Temporal beresolusi tinggi (N=212) yang mencakup data panel lintas waktu (Tahun 1 dan Tahun 9) serta lintas entitas geografis (Fasilitas dan Kabupaten).</w:t>
      </w:r>
    </w:p>
    <w:bookmarkStart w:id="26" w:name="konstruksi-matriks-data-model-dictionary"/>
    <w:p>
      <w:pPr>
        <w:pStyle w:val="Heading3"/>
      </w:pPr>
      <w:r>
        <w:t xml:space="preserve">2.1 Konstruksi Matriks Data (Model Dictionary)</w:t>
      </w:r>
    </w:p>
    <w:p>
      <w:pPr>
        <w:pStyle w:val="FirstParagraph"/>
      </w:pPr>
      <w:r>
        <w:t xml:space="preserve">Berdasarkan protokol pengolahan basis data (CRISP-DM), ke-57 tabel mentah dikategorikan ke dalam tiga fasa akuisisi. Kategori pertama mencakup data koordinat geografis (Latitude, Longitude) dan karakteristik fisik tungku peleburan yang diperoleh dari sistem direktori energi global CGS. Kategori kedua merangkum inventarisasi emisi PLTU captive (Coal_MW, Avg_CO2_Mt) yang secara spesifik dirilis oleh IEEFA dan CREA. Kategori ketiga melibatkan pembacaan tabel matriks Input-Output (SAM) yang diterbitkan oleh Center of Economic and Law Studies (CELIOS), di mana beban ekonomi dikonversi ke dalam satuan Triliun Rupiah.</w:t>
      </w:r>
    </w:p>
    <w:p>
      <w:pPr>
        <w:pStyle w:val="BodyText"/>
      </w:pPr>
      <w:r>
        <w:t xml:space="preserve">Berdasarkan protokol pengolahan basis data (CRISP-DM), ke-57 tabel mentah dikategorikan ke dalam tiga fasa akuisisi. Kategori pertama mencakup data koordinat geografis (Latitude, Longitude) dan karakteristik fisik tungku peleburan yang diperoleh dari sistem direktori energi global CGS. Kategori kedua merangkum inventarisasi emisi PLTU captive (Coal_MW, Avg_CO2_Mt) yang secara spesifik dirilis oleh IEEFA dan CREA. Kategori ketiga melibatkan pembacaan tabel matriks Input-Output (SAM) yang diterbitkan oleh Center of Economic and Law Studies (CELIOS), di mana beban ekonomi dikonversi ke dalam satuan Triliun Rupiah.</w:t>
      </w:r>
    </w:p>
    <w:p>
      <w:pPr>
        <w:pStyle w:val="BodyText"/>
      </w:pPr>
      <w:r>
        <w:t xml:space="preserve">Berdasarkan protokol pengolahan basis data (CRISP-DM), ke-57 tabel mentah dikategorikan ke dalam tiga fasa akuisisi. Kategori pertama mencakup data koordinat geografis (Latitude, Longitude) dan karakteristik fisik tungku peleburan yang diperoleh dari sistem direktori energi global CGS. Kategori kedua merangkum inventarisasi emisi PLTU captive (Coal_MW, Avg_CO2_Mt) yang secara spesifik dirilis oleh IEEFA dan CREA. Kategori ketiga melibatkan pembacaan tabel matriks Input-Output (SAM) yang diterbitkan oleh Center of Economic and Law Studies (CELIOS), di mana beban ekonomi dikonversi ke dalam satuan Triliun Rupiah.</w:t>
      </w:r>
    </w:p>
    <w:p>
      <w:pPr>
        <w:pStyle w:val="BodyText"/>
      </w:pPr>
      <w:r>
        <w:t xml:space="preserve">Berdasarkan protokol pengolahan basis data (CRISP-DM), ke-57 tabel mentah dikategorikan ke dalam tiga fasa akuisisi. Kategori pertama mencakup data koordinat geografis (Latitude, Longitude) dan karakteristik fisik tungku peleburan yang diperoleh dari sistem direktori energi global CGS. Kategori kedua merangkum inventarisasi emisi PLTU captive (Coal_MW, Avg_CO2_Mt) yang secara spesifik dirilis oleh IEEFA dan CREA. Kategori ketiga melibatkan pembacaan tabel matriks Input-Output (SAM) yang diterbitkan oleh Center of Economic and Law Studies (CELIOS), di mana beban ekonomi dikonversi ke dalam satuan Triliun Rupiah.</w:t>
      </w:r>
    </w:p>
    <w:p>
      <w:pPr>
        <w:pStyle w:val="BodyText"/>
      </w:pPr>
      <w:r>
        <w:t xml:space="preserve">Berdasarkan protokol pengolahan basis data (CRISP-DM), ke-57 tabel mentah dikategorikan ke dalam tiga fasa akuisisi. Kategori pertama mencakup data koordinat geografis (Latitude, Longitude) dan karakteristik fisik tungku peleburan yang diperoleh dari sistem direktori energi global CGS. Kategori kedua merangkum inventarisasi emisi PLTU captive (Coal_MW, Avg_CO2_Mt) yang secara spesifik dirilis oleh IEEFA dan CREA. Kategori ketiga melibatkan pembacaan tabel matriks Input-Output (SAM) yang diterbitkan oleh Center of Economic and Law Studies (CELIOS), di mana beban ekonomi dikonversi ke dalam satuan Triliun Rupiah.</w:t>
      </w:r>
    </w:p>
    <w:bookmarkEnd w:id="26"/>
    <w:bookmarkStart w:id="27" w:name="deklarasi-spesifik-variabel-independen"/>
    <w:p>
      <w:pPr>
        <w:pStyle w:val="Heading3"/>
      </w:pPr>
      <w:r>
        <w:t xml:space="preserve">2.2 Deklarasi Spesifik Variabel Independen</w:t>
      </w:r>
    </w:p>
    <w:p>
      <w:pPr>
        <w:pStyle w:val="FirstParagraph"/>
      </w:pPr>
      <w:r>
        <w:t xml:space="preserve">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pStyle w:val="BodyText"/>
      </w:pPr>
      <w:r>
        <w:t xml:space="preserve">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pStyle w:val="BodyText"/>
      </w:pPr>
      <w:r>
        <w:t xml:space="preserve">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pStyle w:val="BodyText"/>
      </w:pPr>
      <w:r>
        <w:t xml:space="preserve">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pStyle w:val="BodyText"/>
      </w:pPr>
      <w:r>
        <w:t xml:space="preserve">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pStyle w:val="BodyText"/>
      </w:pPr>
      <w:r>
        <w:t xml:space="preserve">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bookmarkEnd w:id="27"/>
    <w:bookmarkStart w:id="28" w:name="deklarasi-variabel-dependen-target"/>
    <w:p>
      <w:pPr>
        <w:pStyle w:val="Heading3"/>
      </w:pPr>
      <w:r>
        <w:t xml:space="preserve">2.3 Deklarasi Variabel Dependen (Target)</w:t>
      </w:r>
    </w:p>
    <w:p>
      <w:pPr>
        <w:pStyle w:val="FirstParagraph"/>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pStyle w:val="BodyText"/>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pStyle w:val="BodyText"/>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pStyle w:val="BodyText"/>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pStyle w:val="BodyText"/>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pStyle w:val="BodyText"/>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bookmarkEnd w:id="28"/>
    <w:bookmarkEnd w:id="29"/>
    <w:bookmarkStart w:id="30" w:name="X7619cee1b3381f3d56cd73f5ce9d30559e4ffa7"/>
    <w:p>
      <w:pPr>
        <w:pStyle w:val="Heading2"/>
      </w:pPr>
      <w:r>
        <w:t xml:space="preserve">BAB III: PEMODELAN MATEMATIKA INPUT-OUTPUT LEONTIEF</w:t>
      </w:r>
    </w:p>
    <w:p>
      <w:pPr>
        <w:pStyle w:val="FirstParagraph"/>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p>
    <w:p>
      <w:pPr>
        <w:pStyle w:val="BodyText"/>
      </w:pPr>
      <w:r>
        <w:t xml:space="preserve">Struktur dasar model Leontief didasarkan pada matriks koefisien teknis (A), vektor permintaan akhir (f), dan vektor keluaran total (X). Formulasi keseimbangan fundamental didefinisikan oleh persamaan berikut:</w:t>
      </w:r>
    </w:p>
    <w:p>
      <w:pPr>
        <w:pStyle w:val="BodyText"/>
      </w:pPr>
      <m:oMathPara>
        <m:oMathParaPr>
          <m:jc m:val="center"/>
        </m:oMathParaPr>
        <m:oMath>
          <m:r>
            <m:t>X</m:t>
          </m:r>
          <m:r>
            <m:rPr>
              <m:sty m:val="p"/>
            </m:rPr>
            <m:t>=</m:t>
          </m:r>
          <m:sSup>
            <m:e>
              <m:d>
                <m:dPr>
                  <m:begChr m:val="("/>
                  <m:sepChr m:val=""/>
                  <m:endChr m:val=")"/>
                  <m:grow/>
                </m:dPr>
                <m:e>
                  <m:r>
                    <m:t>I</m:t>
                  </m:r>
                  <m:r>
                    <m:rPr>
                      <m:sty m:val="p"/>
                    </m:rPr>
                    <m:t>−</m:t>
                  </m:r>
                  <m:r>
                    <m:t>A</m:t>
                  </m:r>
                </m:e>
              </m:d>
            </m:e>
            <m:sup>
              <m:r>
                <m:rPr>
                  <m:sty m:val="p"/>
                </m:rPr>
                <m:t>−</m:t>
              </m:r>
              <m:r>
                <m:t>1</m:t>
              </m:r>
            </m:sup>
          </m:sSup>
          <m:r>
            <m:t>f</m:t>
          </m:r>
        </m:oMath>
      </m:oMathPara>
    </w:p>
    <w:p>
      <w:pPr>
        <w:pStyle w:val="FirstParagraph"/>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m:oMathPara>
        <m:oMathParaPr>
          <m:jc m:val="center"/>
        </m:oMathParaPr>
        <m:oMath>
          <m:r>
            <m:t>Δ</m:t>
          </m:r>
          <m:r>
            <m:t>X</m:t>
          </m:r>
          <m:r>
            <m:rPr>
              <m:sty m:val="p"/>
            </m:rPr>
            <m:t>=</m:t>
          </m:r>
          <m:sSup>
            <m:e>
              <m:d>
                <m:dPr>
                  <m:begChr m:val="("/>
                  <m:sepChr m:val=""/>
                  <m:endChr m:val=")"/>
                  <m:grow/>
                </m:dPr>
                <m:e>
                  <m:r>
                    <m:t>I</m:t>
                  </m:r>
                  <m:r>
                    <m:rPr>
                      <m:sty m:val="p"/>
                    </m:rPr>
                    <m:t>−</m:t>
                  </m:r>
                  <m:r>
                    <m:t>A</m:t>
                  </m:r>
                </m:e>
              </m:d>
            </m:e>
            <m:sup>
              <m:r>
                <m:rPr>
                  <m:sty m:val="p"/>
                </m:rPr>
                <m:t>−</m:t>
              </m:r>
              <m:r>
                <m:t>1</m:t>
              </m:r>
            </m:sup>
          </m:sSup>
          <m:r>
            <m:t>Δ</m:t>
          </m:r>
          <m:r>
            <m:t>f</m:t>
          </m:r>
        </m:oMath>
      </m:oMathPara>
    </w:p>
    <w:p>
      <w:pPr>
        <w:pStyle w:val="FirstParagraph"/>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p>
    <w:p>
      <w:pPr>
        <w:pStyle w:val="BodyText"/>
      </w:pPr>
      <w:r>
        <w:t xml:space="preserve">Struktur dasar model Leontief didasarkan pada matriks koefisien teknis (A), vektor permintaan akhir (f), dan vektor keluaran total (X). Formulasi keseimbangan fundamental didefinisikan oleh persamaan berikut:</w:t>
      </w:r>
    </w:p>
    <w:p>
      <w:pPr>
        <w:pStyle w:val="BodyText"/>
      </w:pPr>
      <m:oMathPara>
        <m:oMathParaPr>
          <m:jc m:val="center"/>
        </m:oMathParaPr>
        <m:oMath>
          <m:r>
            <m:t>X</m:t>
          </m:r>
          <m:r>
            <m:rPr>
              <m:sty m:val="p"/>
            </m:rPr>
            <m:t>=</m:t>
          </m:r>
          <m:sSup>
            <m:e>
              <m:d>
                <m:dPr>
                  <m:begChr m:val="("/>
                  <m:sepChr m:val=""/>
                  <m:endChr m:val=")"/>
                  <m:grow/>
                </m:dPr>
                <m:e>
                  <m:r>
                    <m:t>I</m:t>
                  </m:r>
                  <m:r>
                    <m:rPr>
                      <m:sty m:val="p"/>
                    </m:rPr>
                    <m:t>−</m:t>
                  </m:r>
                  <m:r>
                    <m:t>A</m:t>
                  </m:r>
                </m:e>
              </m:d>
            </m:e>
            <m:sup>
              <m:r>
                <m:rPr>
                  <m:sty m:val="p"/>
                </m:rPr>
                <m:t>−</m:t>
              </m:r>
              <m:r>
                <m:t>1</m:t>
              </m:r>
            </m:sup>
          </m:sSup>
          <m:r>
            <m:t>f</m:t>
          </m:r>
        </m:oMath>
      </m:oMathPara>
    </w:p>
    <w:p>
      <w:pPr>
        <w:pStyle w:val="FirstParagraph"/>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m:oMathPara>
        <m:oMathParaPr>
          <m:jc m:val="center"/>
        </m:oMathParaPr>
        <m:oMath>
          <m:r>
            <m:t>Δ</m:t>
          </m:r>
          <m:r>
            <m:t>X</m:t>
          </m:r>
          <m:r>
            <m:rPr>
              <m:sty m:val="p"/>
            </m:rPr>
            <m:t>=</m:t>
          </m:r>
          <m:sSup>
            <m:e>
              <m:d>
                <m:dPr>
                  <m:begChr m:val="("/>
                  <m:sepChr m:val=""/>
                  <m:endChr m:val=")"/>
                  <m:grow/>
                </m:dPr>
                <m:e>
                  <m:r>
                    <m:t>I</m:t>
                  </m:r>
                  <m:r>
                    <m:rPr>
                      <m:sty m:val="p"/>
                    </m:rPr>
                    <m:t>−</m:t>
                  </m:r>
                  <m:r>
                    <m:t>A</m:t>
                  </m:r>
                </m:e>
              </m:d>
            </m:e>
            <m:sup>
              <m:r>
                <m:rPr>
                  <m:sty m:val="p"/>
                </m:rPr>
                <m:t>−</m:t>
              </m:r>
              <m:r>
                <m:t>1</m:t>
              </m:r>
            </m:sup>
          </m:sSup>
          <m:r>
            <m:t>Δ</m:t>
          </m:r>
          <m:r>
            <m:t>f</m:t>
          </m:r>
        </m:oMath>
      </m:oMathPara>
    </w:p>
    <w:p>
      <w:pPr>
        <w:pStyle w:val="FirstParagraph"/>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p>
    <w:p>
      <w:pPr>
        <w:pStyle w:val="BodyText"/>
      </w:pPr>
      <w:r>
        <w:t xml:space="preserve">Struktur dasar model Leontief didasarkan pada matriks koefisien teknis (A), vektor permintaan akhir (f), dan vektor keluaran total (X). Formulasi keseimbangan fundamental didefinisikan oleh persamaan berikut:</w:t>
      </w:r>
    </w:p>
    <w:p>
      <w:pPr>
        <w:pStyle w:val="BodyText"/>
      </w:pPr>
      <m:oMathPara>
        <m:oMathParaPr>
          <m:jc m:val="center"/>
        </m:oMathParaPr>
        <m:oMath>
          <m:r>
            <m:t>X</m:t>
          </m:r>
          <m:r>
            <m:rPr>
              <m:sty m:val="p"/>
            </m:rPr>
            <m:t>=</m:t>
          </m:r>
          <m:sSup>
            <m:e>
              <m:d>
                <m:dPr>
                  <m:begChr m:val="("/>
                  <m:sepChr m:val=""/>
                  <m:endChr m:val=")"/>
                  <m:grow/>
                </m:dPr>
                <m:e>
                  <m:r>
                    <m:t>I</m:t>
                  </m:r>
                  <m:r>
                    <m:rPr>
                      <m:sty m:val="p"/>
                    </m:rPr>
                    <m:t>−</m:t>
                  </m:r>
                  <m:r>
                    <m:t>A</m:t>
                  </m:r>
                </m:e>
              </m:d>
            </m:e>
            <m:sup>
              <m:r>
                <m:rPr>
                  <m:sty m:val="p"/>
                </m:rPr>
                <m:t>−</m:t>
              </m:r>
              <m:r>
                <m:t>1</m:t>
              </m:r>
            </m:sup>
          </m:sSup>
          <m:r>
            <m:t>f</m:t>
          </m:r>
        </m:oMath>
      </m:oMathPara>
    </w:p>
    <w:p>
      <w:pPr>
        <w:pStyle w:val="FirstParagraph"/>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m:oMathPara>
        <m:oMathParaPr>
          <m:jc m:val="center"/>
        </m:oMathParaPr>
        <m:oMath>
          <m:r>
            <m:t>Δ</m:t>
          </m:r>
          <m:r>
            <m:t>X</m:t>
          </m:r>
          <m:r>
            <m:rPr>
              <m:sty m:val="p"/>
            </m:rPr>
            <m:t>=</m:t>
          </m:r>
          <m:sSup>
            <m:e>
              <m:d>
                <m:dPr>
                  <m:begChr m:val="("/>
                  <m:sepChr m:val=""/>
                  <m:endChr m:val=")"/>
                  <m:grow/>
                </m:dPr>
                <m:e>
                  <m:r>
                    <m:t>I</m:t>
                  </m:r>
                  <m:r>
                    <m:rPr>
                      <m:sty m:val="p"/>
                    </m:rPr>
                    <m:t>−</m:t>
                  </m:r>
                  <m:r>
                    <m:t>A</m:t>
                  </m:r>
                </m:e>
              </m:d>
            </m:e>
            <m:sup>
              <m:r>
                <m:rPr>
                  <m:sty m:val="p"/>
                </m:rPr>
                <m:t>−</m:t>
              </m:r>
              <m:r>
                <m:t>1</m:t>
              </m:r>
            </m:sup>
          </m:sSup>
          <m:r>
            <m:t>Δ</m:t>
          </m:r>
          <m:r>
            <m:t>f</m:t>
          </m:r>
        </m:oMath>
      </m:oMathPara>
    </w:p>
    <w:p>
      <w:pPr>
        <w:pStyle w:val="FirstParagraph"/>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p>
    <w:p>
      <w:pPr>
        <w:pStyle w:val="BodyText"/>
      </w:pPr>
      <w:r>
        <w:t xml:space="preserve">Struktur dasar model Leontief didasarkan pada matriks koefisien teknis (A), vektor permintaan akhir (f), dan vektor keluaran total (X). Formulasi keseimbangan fundamental didefinisikan oleh persamaan berikut:</w:t>
      </w:r>
    </w:p>
    <w:p>
      <w:pPr>
        <w:pStyle w:val="BodyText"/>
      </w:pPr>
      <m:oMathPara>
        <m:oMathParaPr>
          <m:jc m:val="center"/>
        </m:oMathParaPr>
        <m:oMath>
          <m:r>
            <m:t>X</m:t>
          </m:r>
          <m:r>
            <m:rPr>
              <m:sty m:val="p"/>
            </m:rPr>
            <m:t>=</m:t>
          </m:r>
          <m:sSup>
            <m:e>
              <m:d>
                <m:dPr>
                  <m:begChr m:val="("/>
                  <m:sepChr m:val=""/>
                  <m:endChr m:val=")"/>
                  <m:grow/>
                </m:dPr>
                <m:e>
                  <m:r>
                    <m:t>I</m:t>
                  </m:r>
                  <m:r>
                    <m:rPr>
                      <m:sty m:val="p"/>
                    </m:rPr>
                    <m:t>−</m:t>
                  </m:r>
                  <m:r>
                    <m:t>A</m:t>
                  </m:r>
                </m:e>
              </m:d>
            </m:e>
            <m:sup>
              <m:r>
                <m:rPr>
                  <m:sty m:val="p"/>
                </m:rPr>
                <m:t>−</m:t>
              </m:r>
              <m:r>
                <m:t>1</m:t>
              </m:r>
            </m:sup>
          </m:sSup>
          <m:r>
            <m:t>f</m:t>
          </m:r>
        </m:oMath>
      </m:oMathPara>
    </w:p>
    <w:p>
      <w:pPr>
        <w:pStyle w:val="FirstParagraph"/>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m:oMathPara>
        <m:oMathParaPr>
          <m:jc m:val="center"/>
        </m:oMathParaPr>
        <m:oMath>
          <m:r>
            <m:t>Δ</m:t>
          </m:r>
          <m:r>
            <m:t>X</m:t>
          </m:r>
          <m:r>
            <m:rPr>
              <m:sty m:val="p"/>
            </m:rPr>
            <m:t>=</m:t>
          </m:r>
          <m:sSup>
            <m:e>
              <m:d>
                <m:dPr>
                  <m:begChr m:val="("/>
                  <m:sepChr m:val=""/>
                  <m:endChr m:val=")"/>
                  <m:grow/>
                </m:dPr>
                <m:e>
                  <m:r>
                    <m:t>I</m:t>
                  </m:r>
                  <m:r>
                    <m:rPr>
                      <m:sty m:val="p"/>
                    </m:rPr>
                    <m:t>−</m:t>
                  </m:r>
                  <m:r>
                    <m:t>A</m:t>
                  </m:r>
                </m:e>
              </m:d>
            </m:e>
            <m:sup>
              <m:r>
                <m:rPr>
                  <m:sty m:val="p"/>
                </m:rPr>
                <m:t>−</m:t>
              </m:r>
              <m:r>
                <m:t>1</m:t>
              </m:r>
            </m:sup>
          </m:sSup>
          <m:r>
            <m:t>Δ</m:t>
          </m:r>
          <m:r>
            <m:t>f</m:t>
          </m:r>
        </m:oMath>
      </m:oMathPara>
    </w:p>
    <w:p>
      <w:pPr>
        <w:pStyle w:val="FirstParagraph"/>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p>
    <w:p>
      <w:pPr>
        <w:pStyle w:val="BodyText"/>
      </w:pPr>
      <w:r>
        <w:t xml:space="preserve">Struktur dasar model Leontief didasarkan pada matriks koefisien teknis (A), vektor permintaan akhir (f), dan vektor keluaran total (X). Formulasi keseimbangan fundamental didefinisikan oleh persamaan berikut:</w:t>
      </w:r>
    </w:p>
    <w:p>
      <w:pPr>
        <w:pStyle w:val="BodyText"/>
      </w:pPr>
      <m:oMathPara>
        <m:oMathParaPr>
          <m:jc m:val="center"/>
        </m:oMathParaPr>
        <m:oMath>
          <m:r>
            <m:t>X</m:t>
          </m:r>
          <m:r>
            <m:rPr>
              <m:sty m:val="p"/>
            </m:rPr>
            <m:t>=</m:t>
          </m:r>
          <m:sSup>
            <m:e>
              <m:d>
                <m:dPr>
                  <m:begChr m:val="("/>
                  <m:sepChr m:val=""/>
                  <m:endChr m:val=")"/>
                  <m:grow/>
                </m:dPr>
                <m:e>
                  <m:r>
                    <m:t>I</m:t>
                  </m:r>
                  <m:r>
                    <m:rPr>
                      <m:sty m:val="p"/>
                    </m:rPr>
                    <m:t>−</m:t>
                  </m:r>
                  <m:r>
                    <m:t>A</m:t>
                  </m:r>
                </m:e>
              </m:d>
            </m:e>
            <m:sup>
              <m:r>
                <m:rPr>
                  <m:sty m:val="p"/>
                </m:rPr>
                <m:t>−</m:t>
              </m:r>
              <m:r>
                <m:t>1</m:t>
              </m:r>
            </m:sup>
          </m:sSup>
          <m:r>
            <m:t>f</m:t>
          </m:r>
        </m:oMath>
      </m:oMathPara>
    </w:p>
    <w:p>
      <w:pPr>
        <w:pStyle w:val="FirstParagraph"/>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m:oMathPara>
        <m:oMathParaPr>
          <m:jc m:val="center"/>
        </m:oMathParaPr>
        <m:oMath>
          <m:r>
            <m:t>Δ</m:t>
          </m:r>
          <m:r>
            <m:t>X</m:t>
          </m:r>
          <m:r>
            <m:rPr>
              <m:sty m:val="p"/>
            </m:rPr>
            <m:t>=</m:t>
          </m:r>
          <m:sSup>
            <m:e>
              <m:d>
                <m:dPr>
                  <m:begChr m:val="("/>
                  <m:sepChr m:val=""/>
                  <m:endChr m:val=")"/>
                  <m:grow/>
                </m:dPr>
                <m:e>
                  <m:r>
                    <m:t>I</m:t>
                  </m:r>
                  <m:r>
                    <m:rPr>
                      <m:sty m:val="p"/>
                    </m:rPr>
                    <m:t>−</m:t>
                  </m:r>
                  <m:r>
                    <m:t>A</m:t>
                  </m:r>
                </m:e>
              </m:d>
            </m:e>
            <m:sup>
              <m:r>
                <m:rPr>
                  <m:sty m:val="p"/>
                </m:rPr>
                <m:t>−</m:t>
              </m:r>
              <m:r>
                <m:t>1</m:t>
              </m:r>
            </m:sup>
          </m:sSup>
          <m:r>
            <m:t>Δ</m:t>
          </m:r>
          <m:r>
            <m:t>f</m:t>
          </m:r>
        </m:oMath>
      </m:oMathPara>
    </w:p>
    <w:bookmarkEnd w:id="30"/>
    <w:bookmarkStart w:id="34" w:name="X303d6b970a358063d733d3cb5a9596af71c911f"/>
    <w:p>
      <w:pPr>
        <w:pStyle w:val="Heading2"/>
      </w:pPr>
      <w:r>
        <w:t xml:space="preserve">BAB IV: ARSITEKTUR ALGORITMA MACHINE LEARNING BASELINE</w:t>
      </w:r>
    </w:p>
    <w:bookmarkStart w:id="31" w:name="support-vector-regression-svr"/>
    <w:p>
      <w:pPr>
        <w:pStyle w:val="Heading3"/>
      </w:pPr>
      <w:r>
        <w:t xml:space="preserve">4.1 Support Vector Regression (SVR)</w:t>
      </w:r>
    </w:p>
    <w:p>
      <w:pPr>
        <w:pStyle w:val="FirstParagraph"/>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m:oMathPara>
        <m:oMathParaPr>
          <m:jc m:val="center"/>
        </m:oMathParaPr>
        <m:oMath>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t>K</m:t>
          </m:r>
          <m:d>
            <m:dPr>
              <m:begChr m:val="("/>
              <m:sepChr m:val=""/>
              <m:endChr m:val=")"/>
              <m:grow/>
            </m:dPr>
            <m:e>
              <m:sSub>
                <m:e>
                  <m:r>
                    <m:t>x</m:t>
                  </m:r>
                </m:e>
                <m:sub>
                  <m:r>
                    <m:t>i</m:t>
                  </m:r>
                </m:sub>
              </m:sSub>
              <m:r>
                <m:rPr>
                  <m:sty m:val="p"/>
                </m:rPr>
                <m:t>,</m:t>
              </m:r>
              <m:r>
                <m:t>x</m:t>
              </m:r>
            </m:e>
          </m:d>
          <m:r>
            <m:rPr>
              <m:sty m:val="p"/>
            </m:rPr>
            <m:t>+</m:t>
          </m:r>
          <m:r>
            <m:t>b</m:t>
          </m:r>
        </m:oMath>
      </m:oMathPara>
    </w:p>
    <w:p>
      <w:pPr>
        <w:pStyle w:val="FirstParagraph"/>
      </w:pPr>
      <w:r>
        <w:t xml:space="preserve">Fungsi kernel RBF yang mengukur kesamaan jarak euclidean numerik adalah:</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exp</m:t>
          </m:r>
          <m:d>
            <m:dPr>
              <m:begChr m:val="("/>
              <m:sepChr m:val=""/>
              <m:endChr m:val=")"/>
              <m:grow/>
            </m:dPr>
            <m:e>
              <m:r>
                <m:rPr>
                  <m:sty m:val="p"/>
                </m:rPr>
                <m:t>−</m:t>
              </m:r>
              <m:r>
                <m:t>γ</m:t>
              </m:r>
              <m:d>
                <m:dPr>
                  <m:begChr m:val="|"/>
                  <m:sepChr m:val=""/>
                  <m:endChr m:val="|"/>
                  <m:grow/>
                </m:dPr>
                <m:e/>
              </m:d>
              <m:sSub>
                <m:e>
                  <m:r>
                    <m:t>x</m:t>
                  </m:r>
                </m:e>
                <m:sub>
                  <m:r>
                    <m:t>i</m:t>
                  </m:r>
                </m:sub>
              </m:sSub>
              <m:r>
                <m:rPr>
                  <m:sty m:val="p"/>
                </m:rPr>
                <m:t>−</m:t>
              </m:r>
              <m:sSub>
                <m:e>
                  <m:r>
                    <m:t>x</m:t>
                  </m:r>
                </m:e>
                <m:sub>
                  <m:r>
                    <m:t>j</m:t>
                  </m:r>
                </m:sub>
              </m:sSub>
              <m:sSup>
                <m:e>
                  <m:d>
                    <m:dPr>
                      <m:begChr m:val="|"/>
                      <m:sepChr m:val=""/>
                      <m:endChr m:val="|"/>
                      <m:grow/>
                    </m:dPr>
                    <m:e/>
                  </m:d>
                </m:e>
                <m:sup>
                  <m:r>
                    <m:t>2</m:t>
                  </m:r>
                </m:sup>
              </m:sSup>
            </m:e>
          </m:d>
        </m:oMath>
      </m:oMathPara>
    </w:p>
    <w:p>
      <w:pPr>
        <w:pStyle w:val="FirstParagraph"/>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m:oMathPara>
        <m:oMathParaPr>
          <m:jc m:val="center"/>
        </m:oMathParaPr>
        <m:oMath>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t>K</m:t>
          </m:r>
          <m:d>
            <m:dPr>
              <m:begChr m:val="("/>
              <m:sepChr m:val=""/>
              <m:endChr m:val=")"/>
              <m:grow/>
            </m:dPr>
            <m:e>
              <m:sSub>
                <m:e>
                  <m:r>
                    <m:t>x</m:t>
                  </m:r>
                </m:e>
                <m:sub>
                  <m:r>
                    <m:t>i</m:t>
                  </m:r>
                </m:sub>
              </m:sSub>
              <m:r>
                <m:rPr>
                  <m:sty m:val="p"/>
                </m:rPr>
                <m:t>,</m:t>
              </m:r>
              <m:r>
                <m:t>x</m:t>
              </m:r>
            </m:e>
          </m:d>
          <m:r>
            <m:rPr>
              <m:sty m:val="p"/>
            </m:rPr>
            <m:t>+</m:t>
          </m:r>
          <m:r>
            <m:t>b</m:t>
          </m:r>
        </m:oMath>
      </m:oMathPara>
    </w:p>
    <w:p>
      <w:pPr>
        <w:pStyle w:val="FirstParagraph"/>
      </w:pPr>
      <w:r>
        <w:t xml:space="preserve">Fungsi kernel RBF yang mengukur kesamaan jarak euclidean numerik adalah:</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exp</m:t>
          </m:r>
          <m:d>
            <m:dPr>
              <m:begChr m:val="("/>
              <m:sepChr m:val=""/>
              <m:endChr m:val=")"/>
              <m:grow/>
            </m:dPr>
            <m:e>
              <m:r>
                <m:rPr>
                  <m:sty m:val="p"/>
                </m:rPr>
                <m:t>−</m:t>
              </m:r>
              <m:r>
                <m:t>γ</m:t>
              </m:r>
              <m:d>
                <m:dPr>
                  <m:begChr m:val="|"/>
                  <m:sepChr m:val=""/>
                  <m:endChr m:val="|"/>
                  <m:grow/>
                </m:dPr>
                <m:e/>
              </m:d>
              <m:sSub>
                <m:e>
                  <m:r>
                    <m:t>x</m:t>
                  </m:r>
                </m:e>
                <m:sub>
                  <m:r>
                    <m:t>i</m:t>
                  </m:r>
                </m:sub>
              </m:sSub>
              <m:r>
                <m:rPr>
                  <m:sty m:val="p"/>
                </m:rPr>
                <m:t>−</m:t>
              </m:r>
              <m:sSub>
                <m:e>
                  <m:r>
                    <m:t>x</m:t>
                  </m:r>
                </m:e>
                <m:sub>
                  <m:r>
                    <m:t>j</m:t>
                  </m:r>
                </m:sub>
              </m:sSub>
              <m:sSup>
                <m:e>
                  <m:d>
                    <m:dPr>
                      <m:begChr m:val="|"/>
                      <m:sepChr m:val=""/>
                      <m:endChr m:val="|"/>
                      <m:grow/>
                    </m:dPr>
                    <m:e/>
                  </m:d>
                </m:e>
                <m:sup>
                  <m:r>
                    <m:t>2</m:t>
                  </m:r>
                </m:sup>
              </m:sSup>
            </m:e>
          </m:d>
        </m:oMath>
      </m:oMathPara>
    </w:p>
    <w:p>
      <w:pPr>
        <w:pStyle w:val="FirstParagraph"/>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m:oMathPara>
        <m:oMathParaPr>
          <m:jc m:val="center"/>
        </m:oMathParaPr>
        <m:oMath>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t>K</m:t>
          </m:r>
          <m:d>
            <m:dPr>
              <m:begChr m:val="("/>
              <m:sepChr m:val=""/>
              <m:endChr m:val=")"/>
              <m:grow/>
            </m:dPr>
            <m:e>
              <m:sSub>
                <m:e>
                  <m:r>
                    <m:t>x</m:t>
                  </m:r>
                </m:e>
                <m:sub>
                  <m:r>
                    <m:t>i</m:t>
                  </m:r>
                </m:sub>
              </m:sSub>
              <m:r>
                <m:rPr>
                  <m:sty m:val="p"/>
                </m:rPr>
                <m:t>,</m:t>
              </m:r>
              <m:r>
                <m:t>x</m:t>
              </m:r>
            </m:e>
          </m:d>
          <m:r>
            <m:rPr>
              <m:sty m:val="p"/>
            </m:rPr>
            <m:t>+</m:t>
          </m:r>
          <m:r>
            <m:t>b</m:t>
          </m:r>
        </m:oMath>
      </m:oMathPara>
    </w:p>
    <w:p>
      <w:pPr>
        <w:pStyle w:val="FirstParagraph"/>
      </w:pPr>
      <w:r>
        <w:t xml:space="preserve">Fungsi kernel RBF yang mengukur kesamaan jarak euclidean numerik adalah:</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exp</m:t>
          </m:r>
          <m:d>
            <m:dPr>
              <m:begChr m:val="("/>
              <m:sepChr m:val=""/>
              <m:endChr m:val=")"/>
              <m:grow/>
            </m:dPr>
            <m:e>
              <m:r>
                <m:rPr>
                  <m:sty m:val="p"/>
                </m:rPr>
                <m:t>−</m:t>
              </m:r>
              <m:r>
                <m:t>γ</m:t>
              </m:r>
              <m:d>
                <m:dPr>
                  <m:begChr m:val="|"/>
                  <m:sepChr m:val=""/>
                  <m:endChr m:val="|"/>
                  <m:grow/>
                </m:dPr>
                <m:e/>
              </m:d>
              <m:sSub>
                <m:e>
                  <m:r>
                    <m:t>x</m:t>
                  </m:r>
                </m:e>
                <m:sub>
                  <m:r>
                    <m:t>i</m:t>
                  </m:r>
                </m:sub>
              </m:sSub>
              <m:r>
                <m:rPr>
                  <m:sty m:val="p"/>
                </m:rPr>
                <m:t>−</m:t>
              </m:r>
              <m:sSub>
                <m:e>
                  <m:r>
                    <m:t>x</m:t>
                  </m:r>
                </m:e>
                <m:sub>
                  <m:r>
                    <m:t>j</m:t>
                  </m:r>
                </m:sub>
              </m:sSub>
              <m:sSup>
                <m:e>
                  <m:d>
                    <m:dPr>
                      <m:begChr m:val="|"/>
                      <m:sepChr m:val=""/>
                      <m:endChr m:val="|"/>
                      <m:grow/>
                    </m:dPr>
                    <m:e/>
                  </m:d>
                </m:e>
                <m:sup>
                  <m:r>
                    <m:t>2</m:t>
                  </m:r>
                </m:sup>
              </m:sSup>
            </m:e>
          </m:d>
        </m:oMath>
      </m:oMathPara>
    </w:p>
    <w:p>
      <w:pPr>
        <w:pStyle w:val="FirstParagraph"/>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m:oMathPara>
        <m:oMathParaPr>
          <m:jc m:val="center"/>
        </m:oMathParaPr>
        <m:oMath>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t>K</m:t>
          </m:r>
          <m:d>
            <m:dPr>
              <m:begChr m:val="("/>
              <m:sepChr m:val=""/>
              <m:endChr m:val=")"/>
              <m:grow/>
            </m:dPr>
            <m:e>
              <m:sSub>
                <m:e>
                  <m:r>
                    <m:t>x</m:t>
                  </m:r>
                </m:e>
                <m:sub>
                  <m:r>
                    <m:t>i</m:t>
                  </m:r>
                </m:sub>
              </m:sSub>
              <m:r>
                <m:rPr>
                  <m:sty m:val="p"/>
                </m:rPr>
                <m:t>,</m:t>
              </m:r>
              <m:r>
                <m:t>x</m:t>
              </m:r>
            </m:e>
          </m:d>
          <m:r>
            <m:rPr>
              <m:sty m:val="p"/>
            </m:rPr>
            <m:t>+</m:t>
          </m:r>
          <m:r>
            <m:t>b</m:t>
          </m:r>
        </m:oMath>
      </m:oMathPara>
    </w:p>
    <w:p>
      <w:pPr>
        <w:pStyle w:val="FirstParagraph"/>
      </w:pPr>
      <w:r>
        <w:t xml:space="preserve">Fungsi kernel RBF yang mengukur kesamaan jarak euclidean numerik adalah:</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exp</m:t>
          </m:r>
          <m:d>
            <m:dPr>
              <m:begChr m:val="("/>
              <m:sepChr m:val=""/>
              <m:endChr m:val=")"/>
              <m:grow/>
            </m:dPr>
            <m:e>
              <m:r>
                <m:rPr>
                  <m:sty m:val="p"/>
                </m:rPr>
                <m:t>−</m:t>
              </m:r>
              <m:r>
                <m:t>γ</m:t>
              </m:r>
              <m:d>
                <m:dPr>
                  <m:begChr m:val="|"/>
                  <m:sepChr m:val=""/>
                  <m:endChr m:val="|"/>
                  <m:grow/>
                </m:dPr>
                <m:e/>
              </m:d>
              <m:sSub>
                <m:e>
                  <m:r>
                    <m:t>x</m:t>
                  </m:r>
                </m:e>
                <m:sub>
                  <m:r>
                    <m:t>i</m:t>
                  </m:r>
                </m:sub>
              </m:sSub>
              <m:r>
                <m:rPr>
                  <m:sty m:val="p"/>
                </m:rPr>
                <m:t>−</m:t>
              </m:r>
              <m:sSub>
                <m:e>
                  <m:r>
                    <m:t>x</m:t>
                  </m:r>
                </m:e>
                <m:sub>
                  <m:r>
                    <m:t>j</m:t>
                  </m:r>
                </m:sub>
              </m:sSub>
              <m:sSup>
                <m:e>
                  <m:d>
                    <m:dPr>
                      <m:begChr m:val="|"/>
                      <m:sepChr m:val=""/>
                      <m:endChr m:val="|"/>
                      <m:grow/>
                    </m:dPr>
                    <m:e/>
                  </m:d>
                </m:e>
                <m:sup>
                  <m:r>
                    <m:t>2</m:t>
                  </m:r>
                </m:sup>
              </m:sSup>
            </m:e>
          </m:d>
        </m:oMath>
      </m:oMathPara>
    </w:p>
    <w:p>
      <w:pPr>
        <w:pStyle w:val="FirstParagraph"/>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m:oMathPara>
        <m:oMathParaPr>
          <m:jc m:val="center"/>
        </m:oMathParaPr>
        <m:oMath>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t>K</m:t>
          </m:r>
          <m:d>
            <m:dPr>
              <m:begChr m:val="("/>
              <m:sepChr m:val=""/>
              <m:endChr m:val=")"/>
              <m:grow/>
            </m:dPr>
            <m:e>
              <m:sSub>
                <m:e>
                  <m:r>
                    <m:t>x</m:t>
                  </m:r>
                </m:e>
                <m:sub>
                  <m:r>
                    <m:t>i</m:t>
                  </m:r>
                </m:sub>
              </m:sSub>
              <m:r>
                <m:rPr>
                  <m:sty m:val="p"/>
                </m:rPr>
                <m:t>,</m:t>
              </m:r>
              <m:r>
                <m:t>x</m:t>
              </m:r>
            </m:e>
          </m:d>
          <m:r>
            <m:rPr>
              <m:sty m:val="p"/>
            </m:rPr>
            <m:t>+</m:t>
          </m:r>
          <m:r>
            <m:t>b</m:t>
          </m:r>
        </m:oMath>
      </m:oMathPara>
    </w:p>
    <w:p>
      <w:pPr>
        <w:pStyle w:val="FirstParagraph"/>
      </w:pPr>
      <w:r>
        <w:t xml:space="preserve">Fungsi kernel RBF yang mengukur kesamaan jarak euclidean numerik adalah:</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exp</m:t>
          </m:r>
          <m:d>
            <m:dPr>
              <m:begChr m:val="("/>
              <m:sepChr m:val=""/>
              <m:endChr m:val=")"/>
              <m:grow/>
            </m:dPr>
            <m:e>
              <m:r>
                <m:rPr>
                  <m:sty m:val="p"/>
                </m:rPr>
                <m:t>−</m:t>
              </m:r>
              <m:r>
                <m:t>γ</m:t>
              </m:r>
              <m:d>
                <m:dPr>
                  <m:begChr m:val="|"/>
                  <m:sepChr m:val=""/>
                  <m:endChr m:val="|"/>
                  <m:grow/>
                </m:dPr>
                <m:e/>
              </m:d>
              <m:sSub>
                <m:e>
                  <m:r>
                    <m:t>x</m:t>
                  </m:r>
                </m:e>
                <m:sub>
                  <m:r>
                    <m:t>i</m:t>
                  </m:r>
                </m:sub>
              </m:sSub>
              <m:r>
                <m:rPr>
                  <m:sty m:val="p"/>
                </m:rPr>
                <m:t>−</m:t>
              </m:r>
              <m:sSub>
                <m:e>
                  <m:r>
                    <m:t>x</m:t>
                  </m:r>
                </m:e>
                <m:sub>
                  <m:r>
                    <m:t>j</m:t>
                  </m:r>
                </m:sub>
              </m:sSub>
              <m:sSup>
                <m:e>
                  <m:d>
                    <m:dPr>
                      <m:begChr m:val="|"/>
                      <m:sepChr m:val=""/>
                      <m:endChr m:val="|"/>
                      <m:grow/>
                    </m:dPr>
                    <m:e/>
                  </m:d>
                </m:e>
                <m:sup>
                  <m:r>
                    <m:t>2</m:t>
                  </m:r>
                </m:sup>
              </m:sSup>
            </m:e>
          </m:d>
        </m:oMath>
      </m:oMathPara>
    </w:p>
    <w:bookmarkEnd w:id="31"/>
    <w:bookmarkStart w:id="32" w:name="random-forest-regressor"/>
    <w:p>
      <w:pPr>
        <w:pStyle w:val="Heading3"/>
      </w:pPr>
      <w:r>
        <w:t xml:space="preserve">4.2 Random Forest Regressor</w:t>
      </w:r>
    </w:p>
    <w:p>
      <w:pPr>
        <w:pStyle w:val="FirstParagraph"/>
      </w:pPr>
      <w:r>
        <w:t xml:space="preserve">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pStyle w:val="BodyText"/>
      </w:pPr>
      <m:oMathPara>
        <m:oMathParaPr>
          <m:jc m:val="center"/>
        </m:oMathParaPr>
        <m:oMath>
          <m:r>
            <m:t>M</m:t>
          </m:r>
          <m:r>
            <m:t>S</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m:oMathPara>
    </w:p>
    <w:p>
      <w:pPr>
        <w:pStyle w:val="FirstParagraph"/>
      </w:pPr>
      <w:r>
        <w:t xml:space="preserve">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pStyle w:val="BodyText"/>
      </w:pPr>
      <m:oMathPara>
        <m:oMathParaPr>
          <m:jc m:val="center"/>
        </m:oMathParaPr>
        <m:oMath>
          <m:r>
            <m:t>M</m:t>
          </m:r>
          <m:r>
            <m:t>S</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m:oMathPara>
    </w:p>
    <w:p>
      <w:pPr>
        <w:pStyle w:val="FirstParagraph"/>
      </w:pPr>
      <w:r>
        <w:t xml:space="preserve">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pStyle w:val="BodyText"/>
      </w:pPr>
      <m:oMathPara>
        <m:oMathParaPr>
          <m:jc m:val="center"/>
        </m:oMathParaPr>
        <m:oMath>
          <m:r>
            <m:t>M</m:t>
          </m:r>
          <m:r>
            <m:t>S</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m:oMathPara>
    </w:p>
    <w:p>
      <w:pPr>
        <w:pStyle w:val="FirstParagraph"/>
      </w:pPr>
      <w:r>
        <w:t xml:space="preserve">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pStyle w:val="BodyText"/>
      </w:pPr>
      <m:oMathPara>
        <m:oMathParaPr>
          <m:jc m:val="center"/>
        </m:oMathParaPr>
        <m:oMath>
          <m:r>
            <m:t>M</m:t>
          </m:r>
          <m:r>
            <m:t>S</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m:oMathPara>
    </w:p>
    <w:p>
      <w:pPr>
        <w:pStyle w:val="FirstParagraph"/>
      </w:pPr>
      <w:r>
        <w:t xml:space="preserve">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pStyle w:val="BodyText"/>
      </w:pPr>
      <m:oMathPara>
        <m:oMathParaPr>
          <m:jc m:val="center"/>
        </m:oMathParaPr>
        <m:oMath>
          <m:r>
            <m:t>M</m:t>
          </m:r>
          <m:r>
            <m:t>S</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m:oMathPara>
    </w:p>
    <w:bookmarkEnd w:id="32"/>
    <w:bookmarkStart w:id="33" w:name="limitasi-spasial-baseline"/>
    <w:p>
      <w:pPr>
        <w:pStyle w:val="Heading3"/>
      </w:pPr>
      <w:r>
        <w:t xml:space="preserve">4.3 Limitasi Spasial Baseline</w:t>
      </w:r>
    </w:p>
    <w:p>
      <w:pPr>
        <w:pStyle w:val="FirstParagraph"/>
      </w:pPr>
      <w:r>
        <w:t xml:space="preserve">Meskipun SVR dan Random Forest mencetak skor akurasi yang relatif tinggi dalam prediksi statis, keduanya terbelenggu oleh kebutaan spasial absolut (spatially blind). Algoritma tersebut memperlakukan fitur geolokasi (Latitude dan Longitude) sekadar sebagai angka numerik biasa, menolak prinsip dasar bahwa lokasi fisik di permukaan bumi mendikte intensitas interaksi dan kerusakan ekologis. Kebutaan ini menjadikan SVR dan Random Forest tidak kompeten dalam merekomendasikan batas zonasi moratorium spasial.</w:t>
      </w:r>
    </w:p>
    <w:p>
      <w:pPr>
        <w:pStyle w:val="BodyText"/>
      </w:pPr>
      <w:r>
        <w:t xml:space="preserve">Meskipun SVR dan Random Forest mencetak skor akurasi yang relatif tinggi dalam prediksi statis, keduanya terbelenggu oleh kebutaan spasial absolut (spatially blind). Algoritma tersebut memperlakukan fitur geolokasi (Latitude dan Longitude) sekadar sebagai angka numerik biasa, menolak prinsip dasar bahwa lokasi fisik di permukaan bumi mendikte intensitas interaksi dan kerusakan ekologis. Kebutaan ini menjadikan SVR dan Random Forest tidak kompeten dalam merekomendasikan batas zonasi moratorium spasial.</w:t>
      </w:r>
    </w:p>
    <w:p>
      <w:pPr>
        <w:pStyle w:val="BodyText"/>
      </w:pPr>
      <w:r>
        <w:t xml:space="preserve">Meskipun SVR dan Random Forest mencetak skor akurasi yang relatif tinggi dalam prediksi statis, keduanya terbelenggu oleh kebutaan spasial absolut (spatially blind). Algoritma tersebut memperlakukan fitur geolokasi (Latitude dan Longitude) sekadar sebagai angka numerik biasa, menolak prinsip dasar bahwa lokasi fisik di permukaan bumi mendikte intensitas interaksi dan kerusakan ekologis. Kebutaan ini menjadikan SVR dan Random Forest tidak kompeten dalam merekomendasikan batas zonasi moratorium spasial.</w:t>
      </w:r>
    </w:p>
    <w:p>
      <w:pPr>
        <w:pStyle w:val="BodyText"/>
      </w:pPr>
      <w:r>
        <w:t xml:space="preserve">Meskipun SVR dan Random Forest mencetak skor akurasi yang relatif tinggi dalam prediksi statis, keduanya terbelenggu oleh kebutaan spasial absolut (spatially blind). Algoritma tersebut memperlakukan fitur geolokasi (Latitude dan Longitude) sekadar sebagai angka numerik biasa, menolak prinsip dasar bahwa lokasi fisik di permukaan bumi mendikte intensitas interaksi dan kerusakan ekologis. Kebutaan ini menjadikan SVR dan Random Forest tidak kompeten dalam merekomendasikan batas zonasi moratorium spasial.</w:t>
      </w:r>
    </w:p>
    <w:p>
      <w:pPr>
        <w:pStyle w:val="BodyText"/>
      </w:pPr>
      <w:r>
        <w:t xml:space="preserve">Meskipun SVR dan Random Forest mencetak skor akurasi yang relatif tinggi dalam prediksi statis, keduanya terbelenggu oleh kebutaan spasial absolut (spatially blind). Algoritma tersebut memperlakukan fitur geolokasi (Latitude dan Longitude) sekadar sebagai angka numerik biasa, menolak prinsip dasar bahwa lokasi fisik di permukaan bumi mendikte intensitas interaksi dan kerusakan ekologis. Kebutaan ini menjadikan SVR dan Random Forest tidak kompeten dalam merekomendasikan batas zonasi moratorium spasial.</w:t>
      </w:r>
    </w:p>
    <w:bookmarkEnd w:id="33"/>
    <w:bookmarkEnd w:id="34"/>
    <w:bookmarkStart w:id="35" w:name="Xaa2329c433ef10e463a6fb48fe6dd54b4a5b8b2"/>
    <w:p>
      <w:pPr>
        <w:pStyle w:val="Heading2"/>
      </w:pPr>
      <w:r>
        <w:t xml:space="preserve">BAB V: GEOGRAPHICALLY AND TEMPORALLY WEIGHTED REGRESSION</w:t>
      </w:r>
    </w:p>
    <w:p>
      <w:pPr>
        <w:pStyle w:val="FirstParagraph"/>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m:oMathPara>
        <m:oMathParaPr>
          <m:jc m:val="center"/>
        </m:oMathParaPr>
        <m:oMath>
          <m:sSub>
            <m:e>
              <m:r>
                <m:t>W</m:t>
              </m:r>
            </m:e>
            <m:sub>
              <m:r>
                <m:t>i</m:t>
              </m:r>
              <m:r>
                <m:t>j</m:t>
              </m:r>
            </m:sub>
          </m:sSub>
          <m:r>
            <m:rPr>
              <m:sty m:val="p"/>
            </m:rPr>
            <m:t>=</m:t>
          </m:r>
          <m:r>
            <m:rPr>
              <m:sty m:val="p"/>
            </m:rPr>
            <m:t>exp</m:t>
          </m:r>
          <m:d>
            <m:dPr>
              <m:begChr m:val="("/>
              <m:sepChr m:val=""/>
              <m:endChr m:val=")"/>
              <m:grow/>
            </m:dPr>
            <m:e>
              <m:r>
                <m:rPr>
                  <m:sty m:val="p"/>
                </m:rPr>
                <m:t>−</m:t>
              </m:r>
              <m:r>
                <m:t>0.5</m:t>
              </m:r>
              <m:sSup>
                <m:e>
                  <m:d>
                    <m:dPr>
                      <m:begChr m:val="("/>
                      <m:sepChr m:val=""/>
                      <m:endChr m:val=")"/>
                      <m:grow/>
                    </m:dPr>
                    <m:e>
                      <m:f>
                        <m:fPr>
                          <m:type m:val="bar"/>
                        </m:fPr>
                        <m:num>
                          <m:sSub>
                            <m:e>
                              <m:r>
                                <m:t>d</m:t>
                              </m:r>
                            </m:e>
                            <m:sub>
                              <m:r>
                                <m:t>i</m:t>
                              </m:r>
                              <m:r>
                                <m:t>j</m:t>
                              </m:r>
                            </m:sub>
                          </m:sSub>
                        </m:num>
                        <m:den>
                          <m:r>
                            <m:t>b</m:t>
                          </m:r>
                        </m:den>
                      </m:f>
                    </m:e>
                  </m:d>
                </m:e>
                <m:sup>
                  <m:r>
                    <m:t>2</m:t>
                  </m:r>
                </m:sup>
              </m:sSup>
            </m:e>
          </m:d>
        </m:oMath>
      </m:oMathPara>
    </w:p>
    <w:p>
      <w:pPr>
        <w:pStyle w:val="FirstParagraph"/>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m:oMathPara>
        <m:oMathParaPr>
          <m:jc m:val="center"/>
        </m:oMathParaPr>
        <m:oMath>
          <m:acc>
            <m:accPr>
              <m:chr m:val="̂"/>
            </m:accPr>
            <m:e>
              <m:r>
                <m:t>β</m:t>
              </m:r>
            </m:e>
          </m:acc>
          <m:d>
            <m:dPr>
              <m:begChr m:val="("/>
              <m:sepChr m:val=""/>
              <m:endChr m:val=")"/>
              <m:grow/>
            </m:dPr>
            <m:e>
              <m:sSub>
                <m:e>
                  <m:r>
                    <m:t>u</m:t>
                  </m:r>
                </m:e>
                <m:sub>
                  <m:r>
                    <m:t>i</m:t>
                  </m:r>
                </m:sub>
              </m:sSub>
              <m:r>
                <m:rPr>
                  <m:sty m:val="p"/>
                </m:rPr>
                <m:t>,</m:t>
              </m:r>
              <m:sSub>
                <m:e>
                  <m:r>
                    <m:t>v</m:t>
                  </m:r>
                </m:e>
                <m:sub>
                  <m:r>
                    <m:t>i</m:t>
                  </m:r>
                </m:sub>
              </m:sSub>
            </m:e>
          </m:d>
          <m:r>
            <m:rPr>
              <m:sty m:val="p"/>
            </m:rPr>
            <m:t>=</m:t>
          </m:r>
          <m:sSup>
            <m:e>
              <m:d>
                <m:dPr>
                  <m:begChr m:val="("/>
                  <m:sepChr m:val=""/>
                  <m:endChr m:val=")"/>
                  <m:grow/>
                </m:dPr>
                <m:e>
                  <m:sSup>
                    <m:e>
                      <m:r>
                        <m:t>X</m:t>
                      </m:r>
                    </m:e>
                    <m:sup>
                      <m:r>
                        <m:t>T</m:t>
                      </m:r>
                    </m:sup>
                  </m:sSup>
                  <m:r>
                    <m:t>W</m:t>
                  </m:r>
                  <m:d>
                    <m:dPr>
                      <m:begChr m:val="("/>
                      <m:sepChr m:val=""/>
                      <m:endChr m:val=")"/>
                      <m:grow/>
                    </m:dPr>
                    <m:e>
                      <m:sSub>
                        <m:e>
                          <m:r>
                            <m:t>u</m:t>
                          </m:r>
                        </m:e>
                        <m:sub>
                          <m:r>
                            <m:t>i</m:t>
                          </m:r>
                        </m:sub>
                      </m:sSub>
                      <m:r>
                        <m:rPr>
                          <m:sty m:val="p"/>
                        </m:rPr>
                        <m:t>,</m:t>
                      </m:r>
                      <m:sSub>
                        <m:e>
                          <m:r>
                            <m:t>v</m:t>
                          </m:r>
                        </m:e>
                        <m:sub>
                          <m:r>
                            <m:t>i</m:t>
                          </m:r>
                        </m:sub>
                      </m:sSub>
                    </m:e>
                  </m:d>
                  <m:r>
                    <m:t>X</m:t>
                  </m:r>
                </m:e>
              </m:d>
            </m:e>
            <m:sup>
              <m:r>
                <m:rPr>
                  <m:sty m:val="p"/>
                </m:rPr>
                <m:t>−</m:t>
              </m:r>
              <m:r>
                <m:t>1</m:t>
              </m:r>
            </m:sup>
          </m:sSup>
          <m:sSup>
            <m:e>
              <m:r>
                <m:t>X</m:t>
              </m:r>
            </m:e>
            <m:sup>
              <m:r>
                <m:t>T</m:t>
              </m:r>
            </m:sup>
          </m:sSup>
          <m:r>
            <m:t>W</m:t>
          </m:r>
          <m:d>
            <m:dPr>
              <m:begChr m:val="("/>
              <m:sepChr m:val=""/>
              <m:endChr m:val=")"/>
              <m:grow/>
            </m:dPr>
            <m:e>
              <m:sSub>
                <m:e>
                  <m:r>
                    <m:t>u</m:t>
                  </m:r>
                </m:e>
                <m:sub>
                  <m:r>
                    <m:t>i</m:t>
                  </m:r>
                </m:sub>
              </m:sSub>
              <m:r>
                <m:rPr>
                  <m:sty m:val="p"/>
                </m:rPr>
                <m:t>,</m:t>
              </m:r>
              <m:sSub>
                <m:e>
                  <m:r>
                    <m:t>v</m:t>
                  </m:r>
                </m:e>
                <m:sub>
                  <m:r>
                    <m:t>i</m:t>
                  </m:r>
                </m:sub>
              </m:sSub>
            </m:e>
          </m:d>
          <m:r>
            <m:t>y</m:t>
          </m:r>
        </m:oMath>
      </m:oMathPara>
    </w:p>
    <w:p>
      <w:pPr>
        <w:pStyle w:val="FirstParagraph"/>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m:oMathPara>
        <m:oMathParaPr>
          <m:jc m:val="center"/>
        </m:oMathParaPr>
        <m:oMath>
          <m:sSub>
            <m:e>
              <m:r>
                <m:t>W</m:t>
              </m:r>
            </m:e>
            <m:sub>
              <m:r>
                <m:t>i</m:t>
              </m:r>
              <m:r>
                <m:t>j</m:t>
              </m:r>
            </m:sub>
          </m:sSub>
          <m:r>
            <m:rPr>
              <m:sty m:val="p"/>
            </m:rPr>
            <m:t>=</m:t>
          </m:r>
          <m:r>
            <m:rPr>
              <m:sty m:val="p"/>
            </m:rPr>
            <m:t>exp</m:t>
          </m:r>
          <m:d>
            <m:dPr>
              <m:begChr m:val="("/>
              <m:sepChr m:val=""/>
              <m:endChr m:val=")"/>
              <m:grow/>
            </m:dPr>
            <m:e>
              <m:r>
                <m:rPr>
                  <m:sty m:val="p"/>
                </m:rPr>
                <m:t>−</m:t>
              </m:r>
              <m:r>
                <m:t>0.5</m:t>
              </m:r>
              <m:sSup>
                <m:e>
                  <m:d>
                    <m:dPr>
                      <m:begChr m:val="("/>
                      <m:sepChr m:val=""/>
                      <m:endChr m:val=")"/>
                      <m:grow/>
                    </m:dPr>
                    <m:e>
                      <m:f>
                        <m:fPr>
                          <m:type m:val="bar"/>
                        </m:fPr>
                        <m:num>
                          <m:sSub>
                            <m:e>
                              <m:r>
                                <m:t>d</m:t>
                              </m:r>
                            </m:e>
                            <m:sub>
                              <m:r>
                                <m:t>i</m:t>
                              </m:r>
                              <m:r>
                                <m:t>j</m:t>
                              </m:r>
                            </m:sub>
                          </m:sSub>
                        </m:num>
                        <m:den>
                          <m:r>
                            <m:t>b</m:t>
                          </m:r>
                        </m:den>
                      </m:f>
                    </m:e>
                  </m:d>
                </m:e>
                <m:sup>
                  <m:r>
                    <m:t>2</m:t>
                  </m:r>
                </m:sup>
              </m:sSup>
            </m:e>
          </m:d>
        </m:oMath>
      </m:oMathPara>
    </w:p>
    <w:p>
      <w:pPr>
        <w:pStyle w:val="FirstParagraph"/>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m:oMathPara>
        <m:oMathParaPr>
          <m:jc m:val="center"/>
        </m:oMathParaPr>
        <m:oMath>
          <m:acc>
            <m:accPr>
              <m:chr m:val="̂"/>
            </m:accPr>
            <m:e>
              <m:r>
                <m:t>β</m:t>
              </m:r>
            </m:e>
          </m:acc>
          <m:d>
            <m:dPr>
              <m:begChr m:val="("/>
              <m:sepChr m:val=""/>
              <m:endChr m:val=")"/>
              <m:grow/>
            </m:dPr>
            <m:e>
              <m:sSub>
                <m:e>
                  <m:r>
                    <m:t>u</m:t>
                  </m:r>
                </m:e>
                <m:sub>
                  <m:r>
                    <m:t>i</m:t>
                  </m:r>
                </m:sub>
              </m:sSub>
              <m:r>
                <m:rPr>
                  <m:sty m:val="p"/>
                </m:rPr>
                <m:t>,</m:t>
              </m:r>
              <m:sSub>
                <m:e>
                  <m:r>
                    <m:t>v</m:t>
                  </m:r>
                </m:e>
                <m:sub>
                  <m:r>
                    <m:t>i</m:t>
                  </m:r>
                </m:sub>
              </m:sSub>
            </m:e>
          </m:d>
          <m:r>
            <m:rPr>
              <m:sty m:val="p"/>
            </m:rPr>
            <m:t>=</m:t>
          </m:r>
          <m:sSup>
            <m:e>
              <m:d>
                <m:dPr>
                  <m:begChr m:val="("/>
                  <m:sepChr m:val=""/>
                  <m:endChr m:val=")"/>
                  <m:grow/>
                </m:dPr>
                <m:e>
                  <m:sSup>
                    <m:e>
                      <m:r>
                        <m:t>X</m:t>
                      </m:r>
                    </m:e>
                    <m:sup>
                      <m:r>
                        <m:t>T</m:t>
                      </m:r>
                    </m:sup>
                  </m:sSup>
                  <m:r>
                    <m:t>W</m:t>
                  </m:r>
                  <m:d>
                    <m:dPr>
                      <m:begChr m:val="("/>
                      <m:sepChr m:val=""/>
                      <m:endChr m:val=")"/>
                      <m:grow/>
                    </m:dPr>
                    <m:e>
                      <m:sSub>
                        <m:e>
                          <m:r>
                            <m:t>u</m:t>
                          </m:r>
                        </m:e>
                        <m:sub>
                          <m:r>
                            <m:t>i</m:t>
                          </m:r>
                        </m:sub>
                      </m:sSub>
                      <m:r>
                        <m:rPr>
                          <m:sty m:val="p"/>
                        </m:rPr>
                        <m:t>,</m:t>
                      </m:r>
                      <m:sSub>
                        <m:e>
                          <m:r>
                            <m:t>v</m:t>
                          </m:r>
                        </m:e>
                        <m:sub>
                          <m:r>
                            <m:t>i</m:t>
                          </m:r>
                        </m:sub>
                      </m:sSub>
                    </m:e>
                  </m:d>
                  <m:r>
                    <m:t>X</m:t>
                  </m:r>
                </m:e>
              </m:d>
            </m:e>
            <m:sup>
              <m:r>
                <m:rPr>
                  <m:sty m:val="p"/>
                </m:rPr>
                <m:t>−</m:t>
              </m:r>
              <m:r>
                <m:t>1</m:t>
              </m:r>
            </m:sup>
          </m:sSup>
          <m:sSup>
            <m:e>
              <m:r>
                <m:t>X</m:t>
              </m:r>
            </m:e>
            <m:sup>
              <m:r>
                <m:t>T</m:t>
              </m:r>
            </m:sup>
          </m:sSup>
          <m:r>
            <m:t>W</m:t>
          </m:r>
          <m:d>
            <m:dPr>
              <m:begChr m:val="("/>
              <m:sepChr m:val=""/>
              <m:endChr m:val=")"/>
              <m:grow/>
            </m:dPr>
            <m:e>
              <m:sSub>
                <m:e>
                  <m:r>
                    <m:t>u</m:t>
                  </m:r>
                </m:e>
                <m:sub>
                  <m:r>
                    <m:t>i</m:t>
                  </m:r>
                </m:sub>
              </m:sSub>
              <m:r>
                <m:rPr>
                  <m:sty m:val="p"/>
                </m:rPr>
                <m:t>,</m:t>
              </m:r>
              <m:sSub>
                <m:e>
                  <m:r>
                    <m:t>v</m:t>
                  </m:r>
                </m:e>
                <m:sub>
                  <m:r>
                    <m:t>i</m:t>
                  </m:r>
                </m:sub>
              </m:sSub>
            </m:e>
          </m:d>
          <m:r>
            <m:t>y</m:t>
          </m:r>
        </m:oMath>
      </m:oMathPara>
    </w:p>
    <w:p>
      <w:pPr>
        <w:pStyle w:val="FirstParagraph"/>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m:oMathPara>
        <m:oMathParaPr>
          <m:jc m:val="center"/>
        </m:oMathParaPr>
        <m:oMath>
          <m:sSub>
            <m:e>
              <m:r>
                <m:t>W</m:t>
              </m:r>
            </m:e>
            <m:sub>
              <m:r>
                <m:t>i</m:t>
              </m:r>
              <m:r>
                <m:t>j</m:t>
              </m:r>
            </m:sub>
          </m:sSub>
          <m:r>
            <m:rPr>
              <m:sty m:val="p"/>
            </m:rPr>
            <m:t>=</m:t>
          </m:r>
          <m:r>
            <m:rPr>
              <m:sty m:val="p"/>
            </m:rPr>
            <m:t>exp</m:t>
          </m:r>
          <m:d>
            <m:dPr>
              <m:begChr m:val="("/>
              <m:sepChr m:val=""/>
              <m:endChr m:val=")"/>
              <m:grow/>
            </m:dPr>
            <m:e>
              <m:r>
                <m:rPr>
                  <m:sty m:val="p"/>
                </m:rPr>
                <m:t>−</m:t>
              </m:r>
              <m:r>
                <m:t>0.5</m:t>
              </m:r>
              <m:sSup>
                <m:e>
                  <m:d>
                    <m:dPr>
                      <m:begChr m:val="("/>
                      <m:sepChr m:val=""/>
                      <m:endChr m:val=")"/>
                      <m:grow/>
                    </m:dPr>
                    <m:e>
                      <m:f>
                        <m:fPr>
                          <m:type m:val="bar"/>
                        </m:fPr>
                        <m:num>
                          <m:sSub>
                            <m:e>
                              <m:r>
                                <m:t>d</m:t>
                              </m:r>
                            </m:e>
                            <m:sub>
                              <m:r>
                                <m:t>i</m:t>
                              </m:r>
                              <m:r>
                                <m:t>j</m:t>
                              </m:r>
                            </m:sub>
                          </m:sSub>
                        </m:num>
                        <m:den>
                          <m:r>
                            <m:t>b</m:t>
                          </m:r>
                        </m:den>
                      </m:f>
                    </m:e>
                  </m:d>
                </m:e>
                <m:sup>
                  <m:r>
                    <m:t>2</m:t>
                  </m:r>
                </m:sup>
              </m:sSup>
            </m:e>
          </m:d>
        </m:oMath>
      </m:oMathPara>
    </w:p>
    <w:p>
      <w:pPr>
        <w:pStyle w:val="FirstParagraph"/>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m:oMathPara>
        <m:oMathParaPr>
          <m:jc m:val="center"/>
        </m:oMathParaPr>
        <m:oMath>
          <m:acc>
            <m:accPr>
              <m:chr m:val="̂"/>
            </m:accPr>
            <m:e>
              <m:r>
                <m:t>β</m:t>
              </m:r>
            </m:e>
          </m:acc>
          <m:d>
            <m:dPr>
              <m:begChr m:val="("/>
              <m:sepChr m:val=""/>
              <m:endChr m:val=")"/>
              <m:grow/>
            </m:dPr>
            <m:e>
              <m:sSub>
                <m:e>
                  <m:r>
                    <m:t>u</m:t>
                  </m:r>
                </m:e>
                <m:sub>
                  <m:r>
                    <m:t>i</m:t>
                  </m:r>
                </m:sub>
              </m:sSub>
              <m:r>
                <m:rPr>
                  <m:sty m:val="p"/>
                </m:rPr>
                <m:t>,</m:t>
              </m:r>
              <m:sSub>
                <m:e>
                  <m:r>
                    <m:t>v</m:t>
                  </m:r>
                </m:e>
                <m:sub>
                  <m:r>
                    <m:t>i</m:t>
                  </m:r>
                </m:sub>
              </m:sSub>
            </m:e>
          </m:d>
          <m:r>
            <m:rPr>
              <m:sty m:val="p"/>
            </m:rPr>
            <m:t>=</m:t>
          </m:r>
          <m:sSup>
            <m:e>
              <m:d>
                <m:dPr>
                  <m:begChr m:val="("/>
                  <m:sepChr m:val=""/>
                  <m:endChr m:val=")"/>
                  <m:grow/>
                </m:dPr>
                <m:e>
                  <m:sSup>
                    <m:e>
                      <m:r>
                        <m:t>X</m:t>
                      </m:r>
                    </m:e>
                    <m:sup>
                      <m:r>
                        <m:t>T</m:t>
                      </m:r>
                    </m:sup>
                  </m:sSup>
                  <m:r>
                    <m:t>W</m:t>
                  </m:r>
                  <m:d>
                    <m:dPr>
                      <m:begChr m:val="("/>
                      <m:sepChr m:val=""/>
                      <m:endChr m:val=")"/>
                      <m:grow/>
                    </m:dPr>
                    <m:e>
                      <m:sSub>
                        <m:e>
                          <m:r>
                            <m:t>u</m:t>
                          </m:r>
                        </m:e>
                        <m:sub>
                          <m:r>
                            <m:t>i</m:t>
                          </m:r>
                        </m:sub>
                      </m:sSub>
                      <m:r>
                        <m:rPr>
                          <m:sty m:val="p"/>
                        </m:rPr>
                        <m:t>,</m:t>
                      </m:r>
                      <m:sSub>
                        <m:e>
                          <m:r>
                            <m:t>v</m:t>
                          </m:r>
                        </m:e>
                        <m:sub>
                          <m:r>
                            <m:t>i</m:t>
                          </m:r>
                        </m:sub>
                      </m:sSub>
                    </m:e>
                  </m:d>
                  <m:r>
                    <m:t>X</m:t>
                  </m:r>
                </m:e>
              </m:d>
            </m:e>
            <m:sup>
              <m:r>
                <m:rPr>
                  <m:sty m:val="p"/>
                </m:rPr>
                <m:t>−</m:t>
              </m:r>
              <m:r>
                <m:t>1</m:t>
              </m:r>
            </m:sup>
          </m:sSup>
          <m:sSup>
            <m:e>
              <m:r>
                <m:t>X</m:t>
              </m:r>
            </m:e>
            <m:sup>
              <m:r>
                <m:t>T</m:t>
              </m:r>
            </m:sup>
          </m:sSup>
          <m:r>
            <m:t>W</m:t>
          </m:r>
          <m:d>
            <m:dPr>
              <m:begChr m:val="("/>
              <m:sepChr m:val=""/>
              <m:endChr m:val=")"/>
              <m:grow/>
            </m:dPr>
            <m:e>
              <m:sSub>
                <m:e>
                  <m:r>
                    <m:t>u</m:t>
                  </m:r>
                </m:e>
                <m:sub>
                  <m:r>
                    <m:t>i</m:t>
                  </m:r>
                </m:sub>
              </m:sSub>
              <m:r>
                <m:rPr>
                  <m:sty m:val="p"/>
                </m:rPr>
                <m:t>,</m:t>
              </m:r>
              <m:sSub>
                <m:e>
                  <m:r>
                    <m:t>v</m:t>
                  </m:r>
                </m:e>
                <m:sub>
                  <m:r>
                    <m:t>i</m:t>
                  </m:r>
                </m:sub>
              </m:sSub>
            </m:e>
          </m:d>
          <m:r>
            <m:t>y</m:t>
          </m:r>
        </m:oMath>
      </m:oMathPara>
    </w:p>
    <w:p>
      <w:pPr>
        <w:pStyle w:val="FirstParagraph"/>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m:oMathPara>
        <m:oMathParaPr>
          <m:jc m:val="center"/>
        </m:oMathParaPr>
        <m:oMath>
          <m:sSub>
            <m:e>
              <m:r>
                <m:t>W</m:t>
              </m:r>
            </m:e>
            <m:sub>
              <m:r>
                <m:t>i</m:t>
              </m:r>
              <m:r>
                <m:t>j</m:t>
              </m:r>
            </m:sub>
          </m:sSub>
          <m:r>
            <m:rPr>
              <m:sty m:val="p"/>
            </m:rPr>
            <m:t>=</m:t>
          </m:r>
          <m:r>
            <m:rPr>
              <m:sty m:val="p"/>
            </m:rPr>
            <m:t>exp</m:t>
          </m:r>
          <m:d>
            <m:dPr>
              <m:begChr m:val="("/>
              <m:sepChr m:val=""/>
              <m:endChr m:val=")"/>
              <m:grow/>
            </m:dPr>
            <m:e>
              <m:r>
                <m:rPr>
                  <m:sty m:val="p"/>
                </m:rPr>
                <m:t>−</m:t>
              </m:r>
              <m:r>
                <m:t>0.5</m:t>
              </m:r>
              <m:sSup>
                <m:e>
                  <m:d>
                    <m:dPr>
                      <m:begChr m:val="("/>
                      <m:sepChr m:val=""/>
                      <m:endChr m:val=")"/>
                      <m:grow/>
                    </m:dPr>
                    <m:e>
                      <m:f>
                        <m:fPr>
                          <m:type m:val="bar"/>
                        </m:fPr>
                        <m:num>
                          <m:sSub>
                            <m:e>
                              <m:r>
                                <m:t>d</m:t>
                              </m:r>
                            </m:e>
                            <m:sub>
                              <m:r>
                                <m:t>i</m:t>
                              </m:r>
                              <m:r>
                                <m:t>j</m:t>
                              </m:r>
                            </m:sub>
                          </m:sSub>
                        </m:num>
                        <m:den>
                          <m:r>
                            <m:t>b</m:t>
                          </m:r>
                        </m:den>
                      </m:f>
                    </m:e>
                  </m:d>
                </m:e>
                <m:sup>
                  <m:r>
                    <m:t>2</m:t>
                  </m:r>
                </m:sup>
              </m:sSup>
            </m:e>
          </m:d>
        </m:oMath>
      </m:oMathPara>
    </w:p>
    <w:p>
      <w:pPr>
        <w:pStyle w:val="FirstParagraph"/>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m:oMathPara>
        <m:oMathParaPr>
          <m:jc m:val="center"/>
        </m:oMathParaPr>
        <m:oMath>
          <m:acc>
            <m:accPr>
              <m:chr m:val="̂"/>
            </m:accPr>
            <m:e>
              <m:r>
                <m:t>β</m:t>
              </m:r>
            </m:e>
          </m:acc>
          <m:d>
            <m:dPr>
              <m:begChr m:val="("/>
              <m:sepChr m:val=""/>
              <m:endChr m:val=")"/>
              <m:grow/>
            </m:dPr>
            <m:e>
              <m:sSub>
                <m:e>
                  <m:r>
                    <m:t>u</m:t>
                  </m:r>
                </m:e>
                <m:sub>
                  <m:r>
                    <m:t>i</m:t>
                  </m:r>
                </m:sub>
              </m:sSub>
              <m:r>
                <m:rPr>
                  <m:sty m:val="p"/>
                </m:rPr>
                <m:t>,</m:t>
              </m:r>
              <m:sSub>
                <m:e>
                  <m:r>
                    <m:t>v</m:t>
                  </m:r>
                </m:e>
                <m:sub>
                  <m:r>
                    <m:t>i</m:t>
                  </m:r>
                </m:sub>
              </m:sSub>
            </m:e>
          </m:d>
          <m:r>
            <m:rPr>
              <m:sty m:val="p"/>
            </m:rPr>
            <m:t>=</m:t>
          </m:r>
          <m:sSup>
            <m:e>
              <m:d>
                <m:dPr>
                  <m:begChr m:val="("/>
                  <m:sepChr m:val=""/>
                  <m:endChr m:val=")"/>
                  <m:grow/>
                </m:dPr>
                <m:e>
                  <m:sSup>
                    <m:e>
                      <m:r>
                        <m:t>X</m:t>
                      </m:r>
                    </m:e>
                    <m:sup>
                      <m:r>
                        <m:t>T</m:t>
                      </m:r>
                    </m:sup>
                  </m:sSup>
                  <m:r>
                    <m:t>W</m:t>
                  </m:r>
                  <m:d>
                    <m:dPr>
                      <m:begChr m:val="("/>
                      <m:sepChr m:val=""/>
                      <m:endChr m:val=")"/>
                      <m:grow/>
                    </m:dPr>
                    <m:e>
                      <m:sSub>
                        <m:e>
                          <m:r>
                            <m:t>u</m:t>
                          </m:r>
                        </m:e>
                        <m:sub>
                          <m:r>
                            <m:t>i</m:t>
                          </m:r>
                        </m:sub>
                      </m:sSub>
                      <m:r>
                        <m:rPr>
                          <m:sty m:val="p"/>
                        </m:rPr>
                        <m:t>,</m:t>
                      </m:r>
                      <m:sSub>
                        <m:e>
                          <m:r>
                            <m:t>v</m:t>
                          </m:r>
                        </m:e>
                        <m:sub>
                          <m:r>
                            <m:t>i</m:t>
                          </m:r>
                        </m:sub>
                      </m:sSub>
                    </m:e>
                  </m:d>
                  <m:r>
                    <m:t>X</m:t>
                  </m:r>
                </m:e>
              </m:d>
            </m:e>
            <m:sup>
              <m:r>
                <m:rPr>
                  <m:sty m:val="p"/>
                </m:rPr>
                <m:t>−</m:t>
              </m:r>
              <m:r>
                <m:t>1</m:t>
              </m:r>
            </m:sup>
          </m:sSup>
          <m:sSup>
            <m:e>
              <m:r>
                <m:t>X</m:t>
              </m:r>
            </m:e>
            <m:sup>
              <m:r>
                <m:t>T</m:t>
              </m:r>
            </m:sup>
          </m:sSup>
          <m:r>
            <m:t>W</m:t>
          </m:r>
          <m:d>
            <m:dPr>
              <m:begChr m:val="("/>
              <m:sepChr m:val=""/>
              <m:endChr m:val=")"/>
              <m:grow/>
            </m:dPr>
            <m:e>
              <m:sSub>
                <m:e>
                  <m:r>
                    <m:t>u</m:t>
                  </m:r>
                </m:e>
                <m:sub>
                  <m:r>
                    <m:t>i</m:t>
                  </m:r>
                </m:sub>
              </m:sSub>
              <m:r>
                <m:rPr>
                  <m:sty m:val="p"/>
                </m:rPr>
                <m:t>,</m:t>
              </m:r>
              <m:sSub>
                <m:e>
                  <m:r>
                    <m:t>v</m:t>
                  </m:r>
                </m:e>
                <m:sub>
                  <m:r>
                    <m:t>i</m:t>
                  </m:r>
                </m:sub>
              </m:sSub>
            </m:e>
          </m:d>
          <m:r>
            <m:t>y</m:t>
          </m:r>
        </m:oMath>
      </m:oMathPara>
    </w:p>
    <w:p>
      <w:pPr>
        <w:pStyle w:val="FirstParagraph"/>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m:oMathPara>
        <m:oMathParaPr>
          <m:jc m:val="center"/>
        </m:oMathParaPr>
        <m:oMath>
          <m:sSub>
            <m:e>
              <m:r>
                <m:t>W</m:t>
              </m:r>
            </m:e>
            <m:sub>
              <m:r>
                <m:t>i</m:t>
              </m:r>
              <m:r>
                <m:t>j</m:t>
              </m:r>
            </m:sub>
          </m:sSub>
          <m:r>
            <m:rPr>
              <m:sty m:val="p"/>
            </m:rPr>
            <m:t>=</m:t>
          </m:r>
          <m:r>
            <m:rPr>
              <m:sty m:val="p"/>
            </m:rPr>
            <m:t>exp</m:t>
          </m:r>
          <m:d>
            <m:dPr>
              <m:begChr m:val="("/>
              <m:sepChr m:val=""/>
              <m:endChr m:val=")"/>
              <m:grow/>
            </m:dPr>
            <m:e>
              <m:r>
                <m:rPr>
                  <m:sty m:val="p"/>
                </m:rPr>
                <m:t>−</m:t>
              </m:r>
              <m:r>
                <m:t>0.5</m:t>
              </m:r>
              <m:sSup>
                <m:e>
                  <m:d>
                    <m:dPr>
                      <m:begChr m:val="("/>
                      <m:sepChr m:val=""/>
                      <m:endChr m:val=")"/>
                      <m:grow/>
                    </m:dPr>
                    <m:e>
                      <m:f>
                        <m:fPr>
                          <m:type m:val="bar"/>
                        </m:fPr>
                        <m:num>
                          <m:sSub>
                            <m:e>
                              <m:r>
                                <m:t>d</m:t>
                              </m:r>
                            </m:e>
                            <m:sub>
                              <m:r>
                                <m:t>i</m:t>
                              </m:r>
                              <m:r>
                                <m:t>j</m:t>
                              </m:r>
                            </m:sub>
                          </m:sSub>
                        </m:num>
                        <m:den>
                          <m:r>
                            <m:t>b</m:t>
                          </m:r>
                        </m:den>
                      </m:f>
                    </m:e>
                  </m:d>
                </m:e>
                <m:sup>
                  <m:r>
                    <m:t>2</m:t>
                  </m:r>
                </m:sup>
              </m:sSup>
            </m:e>
          </m:d>
        </m:oMath>
      </m:oMathPara>
    </w:p>
    <w:p>
      <w:pPr>
        <w:pStyle w:val="FirstParagraph"/>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m:oMathPara>
        <m:oMathParaPr>
          <m:jc m:val="center"/>
        </m:oMathParaPr>
        <m:oMath>
          <m:acc>
            <m:accPr>
              <m:chr m:val="̂"/>
            </m:accPr>
            <m:e>
              <m:r>
                <m:t>β</m:t>
              </m:r>
            </m:e>
          </m:acc>
          <m:d>
            <m:dPr>
              <m:begChr m:val="("/>
              <m:sepChr m:val=""/>
              <m:endChr m:val=")"/>
              <m:grow/>
            </m:dPr>
            <m:e>
              <m:sSub>
                <m:e>
                  <m:r>
                    <m:t>u</m:t>
                  </m:r>
                </m:e>
                <m:sub>
                  <m:r>
                    <m:t>i</m:t>
                  </m:r>
                </m:sub>
              </m:sSub>
              <m:r>
                <m:rPr>
                  <m:sty m:val="p"/>
                </m:rPr>
                <m:t>,</m:t>
              </m:r>
              <m:sSub>
                <m:e>
                  <m:r>
                    <m:t>v</m:t>
                  </m:r>
                </m:e>
                <m:sub>
                  <m:r>
                    <m:t>i</m:t>
                  </m:r>
                </m:sub>
              </m:sSub>
            </m:e>
          </m:d>
          <m:r>
            <m:rPr>
              <m:sty m:val="p"/>
            </m:rPr>
            <m:t>=</m:t>
          </m:r>
          <m:sSup>
            <m:e>
              <m:d>
                <m:dPr>
                  <m:begChr m:val="("/>
                  <m:sepChr m:val=""/>
                  <m:endChr m:val=")"/>
                  <m:grow/>
                </m:dPr>
                <m:e>
                  <m:sSup>
                    <m:e>
                      <m:r>
                        <m:t>X</m:t>
                      </m:r>
                    </m:e>
                    <m:sup>
                      <m:r>
                        <m:t>T</m:t>
                      </m:r>
                    </m:sup>
                  </m:sSup>
                  <m:r>
                    <m:t>W</m:t>
                  </m:r>
                  <m:d>
                    <m:dPr>
                      <m:begChr m:val="("/>
                      <m:sepChr m:val=""/>
                      <m:endChr m:val=")"/>
                      <m:grow/>
                    </m:dPr>
                    <m:e>
                      <m:sSub>
                        <m:e>
                          <m:r>
                            <m:t>u</m:t>
                          </m:r>
                        </m:e>
                        <m:sub>
                          <m:r>
                            <m:t>i</m:t>
                          </m:r>
                        </m:sub>
                      </m:sSub>
                      <m:r>
                        <m:rPr>
                          <m:sty m:val="p"/>
                        </m:rPr>
                        <m:t>,</m:t>
                      </m:r>
                      <m:sSub>
                        <m:e>
                          <m:r>
                            <m:t>v</m:t>
                          </m:r>
                        </m:e>
                        <m:sub>
                          <m:r>
                            <m:t>i</m:t>
                          </m:r>
                        </m:sub>
                      </m:sSub>
                    </m:e>
                  </m:d>
                  <m:r>
                    <m:t>X</m:t>
                  </m:r>
                </m:e>
              </m:d>
            </m:e>
            <m:sup>
              <m:r>
                <m:rPr>
                  <m:sty m:val="p"/>
                </m:rPr>
                <m:t>−</m:t>
              </m:r>
              <m:r>
                <m:t>1</m:t>
              </m:r>
            </m:sup>
          </m:sSup>
          <m:sSup>
            <m:e>
              <m:r>
                <m:t>X</m:t>
              </m:r>
            </m:e>
            <m:sup>
              <m:r>
                <m:t>T</m:t>
              </m:r>
            </m:sup>
          </m:sSup>
          <m:r>
            <m:t>W</m:t>
          </m:r>
          <m:d>
            <m:dPr>
              <m:begChr m:val="("/>
              <m:sepChr m:val=""/>
              <m:endChr m:val=")"/>
              <m:grow/>
            </m:dPr>
            <m:e>
              <m:sSub>
                <m:e>
                  <m:r>
                    <m:t>u</m:t>
                  </m:r>
                </m:e>
                <m:sub>
                  <m:r>
                    <m:t>i</m:t>
                  </m:r>
                </m:sub>
              </m:sSub>
              <m:r>
                <m:rPr>
                  <m:sty m:val="p"/>
                </m:rPr>
                <m:t>,</m:t>
              </m:r>
              <m:sSub>
                <m:e>
                  <m:r>
                    <m:t>v</m:t>
                  </m:r>
                </m:e>
                <m:sub>
                  <m:r>
                    <m:t>i</m:t>
                  </m:r>
                </m:sub>
              </m:sSub>
            </m:e>
          </m:d>
          <m:r>
            <m:t>y</m:t>
          </m:r>
        </m:oMath>
      </m:oMathPara>
    </w:p>
    <w:p>
      <w:pPr>
        <w:pStyle w:val="FirstParagraph"/>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m:oMathPara>
        <m:oMathParaPr>
          <m:jc m:val="center"/>
        </m:oMathParaPr>
        <m:oMath>
          <m:sSub>
            <m:e>
              <m:r>
                <m:t>W</m:t>
              </m:r>
            </m:e>
            <m:sub>
              <m:r>
                <m:t>i</m:t>
              </m:r>
              <m:r>
                <m:t>j</m:t>
              </m:r>
            </m:sub>
          </m:sSub>
          <m:r>
            <m:rPr>
              <m:sty m:val="p"/>
            </m:rPr>
            <m:t>=</m:t>
          </m:r>
          <m:r>
            <m:rPr>
              <m:sty m:val="p"/>
            </m:rPr>
            <m:t>exp</m:t>
          </m:r>
          <m:d>
            <m:dPr>
              <m:begChr m:val="("/>
              <m:sepChr m:val=""/>
              <m:endChr m:val=")"/>
              <m:grow/>
            </m:dPr>
            <m:e>
              <m:r>
                <m:rPr>
                  <m:sty m:val="p"/>
                </m:rPr>
                <m:t>−</m:t>
              </m:r>
              <m:r>
                <m:t>0.5</m:t>
              </m:r>
              <m:sSup>
                <m:e>
                  <m:d>
                    <m:dPr>
                      <m:begChr m:val="("/>
                      <m:sepChr m:val=""/>
                      <m:endChr m:val=")"/>
                      <m:grow/>
                    </m:dPr>
                    <m:e>
                      <m:f>
                        <m:fPr>
                          <m:type m:val="bar"/>
                        </m:fPr>
                        <m:num>
                          <m:sSub>
                            <m:e>
                              <m:r>
                                <m:t>d</m:t>
                              </m:r>
                            </m:e>
                            <m:sub>
                              <m:r>
                                <m:t>i</m:t>
                              </m:r>
                              <m:r>
                                <m:t>j</m:t>
                              </m:r>
                            </m:sub>
                          </m:sSub>
                        </m:num>
                        <m:den>
                          <m:r>
                            <m:t>b</m:t>
                          </m:r>
                        </m:den>
                      </m:f>
                    </m:e>
                  </m:d>
                </m:e>
                <m:sup>
                  <m:r>
                    <m:t>2</m:t>
                  </m:r>
                </m:sup>
              </m:sSup>
            </m:e>
          </m:d>
        </m:oMath>
      </m:oMathPara>
    </w:p>
    <w:p>
      <w:pPr>
        <w:pStyle w:val="FirstParagraph"/>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m:oMathPara>
        <m:oMathParaPr>
          <m:jc m:val="center"/>
        </m:oMathParaPr>
        <m:oMath>
          <m:acc>
            <m:accPr>
              <m:chr m:val="̂"/>
            </m:accPr>
            <m:e>
              <m:r>
                <m:t>β</m:t>
              </m:r>
            </m:e>
          </m:acc>
          <m:d>
            <m:dPr>
              <m:begChr m:val="("/>
              <m:sepChr m:val=""/>
              <m:endChr m:val=")"/>
              <m:grow/>
            </m:dPr>
            <m:e>
              <m:sSub>
                <m:e>
                  <m:r>
                    <m:t>u</m:t>
                  </m:r>
                </m:e>
                <m:sub>
                  <m:r>
                    <m:t>i</m:t>
                  </m:r>
                </m:sub>
              </m:sSub>
              <m:r>
                <m:rPr>
                  <m:sty m:val="p"/>
                </m:rPr>
                <m:t>,</m:t>
              </m:r>
              <m:sSub>
                <m:e>
                  <m:r>
                    <m:t>v</m:t>
                  </m:r>
                </m:e>
                <m:sub>
                  <m:r>
                    <m:t>i</m:t>
                  </m:r>
                </m:sub>
              </m:sSub>
            </m:e>
          </m:d>
          <m:r>
            <m:rPr>
              <m:sty m:val="p"/>
            </m:rPr>
            <m:t>=</m:t>
          </m:r>
          <m:sSup>
            <m:e>
              <m:d>
                <m:dPr>
                  <m:begChr m:val="("/>
                  <m:sepChr m:val=""/>
                  <m:endChr m:val=")"/>
                  <m:grow/>
                </m:dPr>
                <m:e>
                  <m:sSup>
                    <m:e>
                      <m:r>
                        <m:t>X</m:t>
                      </m:r>
                    </m:e>
                    <m:sup>
                      <m:r>
                        <m:t>T</m:t>
                      </m:r>
                    </m:sup>
                  </m:sSup>
                  <m:r>
                    <m:t>W</m:t>
                  </m:r>
                  <m:d>
                    <m:dPr>
                      <m:begChr m:val="("/>
                      <m:sepChr m:val=""/>
                      <m:endChr m:val=")"/>
                      <m:grow/>
                    </m:dPr>
                    <m:e>
                      <m:sSub>
                        <m:e>
                          <m:r>
                            <m:t>u</m:t>
                          </m:r>
                        </m:e>
                        <m:sub>
                          <m:r>
                            <m:t>i</m:t>
                          </m:r>
                        </m:sub>
                      </m:sSub>
                      <m:r>
                        <m:rPr>
                          <m:sty m:val="p"/>
                        </m:rPr>
                        <m:t>,</m:t>
                      </m:r>
                      <m:sSub>
                        <m:e>
                          <m:r>
                            <m:t>v</m:t>
                          </m:r>
                        </m:e>
                        <m:sub>
                          <m:r>
                            <m:t>i</m:t>
                          </m:r>
                        </m:sub>
                      </m:sSub>
                    </m:e>
                  </m:d>
                  <m:r>
                    <m:t>X</m:t>
                  </m:r>
                </m:e>
              </m:d>
            </m:e>
            <m:sup>
              <m:r>
                <m:rPr>
                  <m:sty m:val="p"/>
                </m:rPr>
                <m:t>−</m:t>
              </m:r>
              <m:r>
                <m:t>1</m:t>
              </m:r>
            </m:sup>
          </m:sSup>
          <m:sSup>
            <m:e>
              <m:r>
                <m:t>X</m:t>
              </m:r>
            </m:e>
            <m:sup>
              <m:r>
                <m:t>T</m:t>
              </m:r>
            </m:sup>
          </m:sSup>
          <m:r>
            <m:t>W</m:t>
          </m:r>
          <m:d>
            <m:dPr>
              <m:begChr m:val="("/>
              <m:sepChr m:val=""/>
              <m:endChr m:val=")"/>
              <m:grow/>
            </m:dPr>
            <m:e>
              <m:sSub>
                <m:e>
                  <m:r>
                    <m:t>u</m:t>
                  </m:r>
                </m:e>
                <m:sub>
                  <m:r>
                    <m:t>i</m:t>
                  </m:r>
                </m:sub>
              </m:sSub>
              <m:r>
                <m:rPr>
                  <m:sty m:val="p"/>
                </m:rPr>
                <m:t>,</m:t>
              </m:r>
              <m:sSub>
                <m:e>
                  <m:r>
                    <m:t>v</m:t>
                  </m:r>
                </m:e>
                <m:sub>
                  <m:r>
                    <m:t>i</m:t>
                  </m:r>
                </m:sub>
              </m:sSub>
            </m:e>
          </m:d>
          <m:r>
            <m:t>y</m:t>
          </m:r>
        </m:oMath>
      </m:oMathPara>
    </w:p>
    <w:p>
      <w:pPr>
        <w:pStyle w:val="FirstParagraph"/>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bookmarkEnd w:id="35"/>
    <w:bookmarkStart w:id="36" w:name="Xeca906b2e23e9febcbc8a7fa18a40fbace8abbb"/>
    <w:p>
      <w:pPr>
        <w:pStyle w:val="Heading2"/>
      </w:pPr>
      <w:r>
        <w:t xml:space="preserve">BAB VI: KONSTRUKSI SKENARIO TRANSISI (BAU vs RE+APC)</w:t>
      </w:r>
    </w:p>
    <w:p>
      <w:pPr>
        <w:pStyle w:val="FirstParagraph"/>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m:oMathPara>
        <m:oMathParaPr>
          <m:jc m:val="center"/>
        </m:oMathParaPr>
        <m:oMath>
          <m:r>
            <m:rPr>
              <m:nor/>
              <m:sty m:val="p"/>
            </m:rPr>
            <m:t>Surplus PDRB</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B</m:t>
                      </m:r>
                      <m:r>
                        <m:t>A</m:t>
                      </m:r>
                      <m:r>
                        <m:t>U</m:t>
                      </m:r>
                      <m:r>
                        <m:rPr>
                          <m:sty m:val="p"/>
                        </m:rPr>
                        <m:t>,</m:t>
                      </m:r>
                      <m:r>
                        <m:t>i</m:t>
                      </m:r>
                    </m:sub>
                  </m:sSub>
                  <m:r>
                    <m:rPr>
                      <m:sty m:val="p"/>
                    </m:rPr>
                    <m:t>−</m:t>
                  </m:r>
                  <m:sSub>
                    <m:e>
                      <m:r>
                        <m:t>y</m:t>
                      </m:r>
                    </m:e>
                    <m:sub>
                      <m:r>
                        <m:t>R</m:t>
                      </m:r>
                      <m:r>
                        <m:t>E</m:t>
                      </m:r>
                      <m:r>
                        <m:rPr>
                          <m:sty m:val="p"/>
                        </m:rPr>
                        <m:t>+</m:t>
                      </m:r>
                      <m:r>
                        <m:t>A</m:t>
                      </m:r>
                      <m:r>
                        <m:t>P</m:t>
                      </m:r>
                      <m:r>
                        <m:t>C</m:t>
                      </m:r>
                      <m:r>
                        <m:rPr>
                          <m:sty m:val="p"/>
                        </m:rPr>
                        <m:t>,</m:t>
                      </m:r>
                      <m:r>
                        <m:t>i</m:t>
                      </m:r>
                    </m:sub>
                  </m:sSub>
                </m:e>
              </m:d>
            </m:e>
          </m:nary>
        </m:oMath>
      </m:oMathPara>
    </w:p>
    <w:p>
      <w:pPr>
        <w:pStyle w:val="FirstParagraph"/>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m:oMathPara>
        <m:oMathParaPr>
          <m:jc m:val="center"/>
        </m:oMathParaPr>
        <m:oMath>
          <m:r>
            <m:rPr>
              <m:nor/>
              <m:sty m:val="p"/>
            </m:rPr>
            <m:t>Surplus PDRB</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B</m:t>
                      </m:r>
                      <m:r>
                        <m:t>A</m:t>
                      </m:r>
                      <m:r>
                        <m:t>U</m:t>
                      </m:r>
                      <m:r>
                        <m:rPr>
                          <m:sty m:val="p"/>
                        </m:rPr>
                        <m:t>,</m:t>
                      </m:r>
                      <m:r>
                        <m:t>i</m:t>
                      </m:r>
                    </m:sub>
                  </m:sSub>
                  <m:r>
                    <m:rPr>
                      <m:sty m:val="p"/>
                    </m:rPr>
                    <m:t>−</m:t>
                  </m:r>
                  <m:sSub>
                    <m:e>
                      <m:r>
                        <m:t>y</m:t>
                      </m:r>
                    </m:e>
                    <m:sub>
                      <m:r>
                        <m:t>R</m:t>
                      </m:r>
                      <m:r>
                        <m:t>E</m:t>
                      </m:r>
                      <m:r>
                        <m:rPr>
                          <m:sty m:val="p"/>
                        </m:rPr>
                        <m:t>+</m:t>
                      </m:r>
                      <m:r>
                        <m:t>A</m:t>
                      </m:r>
                      <m:r>
                        <m:t>P</m:t>
                      </m:r>
                      <m:r>
                        <m:t>C</m:t>
                      </m:r>
                      <m:r>
                        <m:rPr>
                          <m:sty m:val="p"/>
                        </m:rPr>
                        <m:t>,</m:t>
                      </m:r>
                      <m:r>
                        <m:t>i</m:t>
                      </m:r>
                    </m:sub>
                  </m:sSub>
                </m:e>
              </m:d>
            </m:e>
          </m:nary>
        </m:oMath>
      </m:oMathPara>
    </w:p>
    <w:p>
      <w:pPr>
        <w:pStyle w:val="FirstParagraph"/>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m:oMathPara>
        <m:oMathParaPr>
          <m:jc m:val="center"/>
        </m:oMathParaPr>
        <m:oMath>
          <m:r>
            <m:rPr>
              <m:nor/>
              <m:sty m:val="p"/>
            </m:rPr>
            <m:t>Surplus PDRB</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B</m:t>
                      </m:r>
                      <m:r>
                        <m:t>A</m:t>
                      </m:r>
                      <m:r>
                        <m:t>U</m:t>
                      </m:r>
                      <m:r>
                        <m:rPr>
                          <m:sty m:val="p"/>
                        </m:rPr>
                        <m:t>,</m:t>
                      </m:r>
                      <m:r>
                        <m:t>i</m:t>
                      </m:r>
                    </m:sub>
                  </m:sSub>
                  <m:r>
                    <m:rPr>
                      <m:sty m:val="p"/>
                    </m:rPr>
                    <m:t>−</m:t>
                  </m:r>
                  <m:sSub>
                    <m:e>
                      <m:r>
                        <m:t>y</m:t>
                      </m:r>
                    </m:e>
                    <m:sub>
                      <m:r>
                        <m:t>R</m:t>
                      </m:r>
                      <m:r>
                        <m:t>E</m:t>
                      </m:r>
                      <m:r>
                        <m:rPr>
                          <m:sty m:val="p"/>
                        </m:rPr>
                        <m:t>+</m:t>
                      </m:r>
                      <m:r>
                        <m:t>A</m:t>
                      </m:r>
                      <m:r>
                        <m:t>P</m:t>
                      </m:r>
                      <m:r>
                        <m:t>C</m:t>
                      </m:r>
                      <m:r>
                        <m:rPr>
                          <m:sty m:val="p"/>
                        </m:rPr>
                        <m:t>,</m:t>
                      </m:r>
                      <m:r>
                        <m:t>i</m:t>
                      </m:r>
                    </m:sub>
                  </m:sSub>
                </m:e>
              </m:d>
            </m:e>
          </m:nary>
        </m:oMath>
      </m:oMathPara>
    </w:p>
    <w:p>
      <w:pPr>
        <w:pStyle w:val="FirstParagraph"/>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m:oMathPara>
        <m:oMathParaPr>
          <m:jc m:val="center"/>
        </m:oMathParaPr>
        <m:oMath>
          <m:r>
            <m:rPr>
              <m:nor/>
              <m:sty m:val="p"/>
            </m:rPr>
            <m:t>Surplus PDRB</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B</m:t>
                      </m:r>
                      <m:r>
                        <m:t>A</m:t>
                      </m:r>
                      <m:r>
                        <m:t>U</m:t>
                      </m:r>
                      <m:r>
                        <m:rPr>
                          <m:sty m:val="p"/>
                        </m:rPr>
                        <m:t>,</m:t>
                      </m:r>
                      <m:r>
                        <m:t>i</m:t>
                      </m:r>
                    </m:sub>
                  </m:sSub>
                  <m:r>
                    <m:rPr>
                      <m:sty m:val="p"/>
                    </m:rPr>
                    <m:t>−</m:t>
                  </m:r>
                  <m:sSub>
                    <m:e>
                      <m:r>
                        <m:t>y</m:t>
                      </m:r>
                    </m:e>
                    <m:sub>
                      <m:r>
                        <m:t>R</m:t>
                      </m:r>
                      <m:r>
                        <m:t>E</m:t>
                      </m:r>
                      <m:r>
                        <m:rPr>
                          <m:sty m:val="p"/>
                        </m:rPr>
                        <m:t>+</m:t>
                      </m:r>
                      <m:r>
                        <m:t>A</m:t>
                      </m:r>
                      <m:r>
                        <m:t>P</m:t>
                      </m:r>
                      <m:r>
                        <m:t>C</m:t>
                      </m:r>
                      <m:r>
                        <m:rPr>
                          <m:sty m:val="p"/>
                        </m:rPr>
                        <m:t>,</m:t>
                      </m:r>
                      <m:r>
                        <m:t>i</m:t>
                      </m:r>
                    </m:sub>
                  </m:sSub>
                </m:e>
              </m:d>
            </m:e>
          </m:nary>
        </m:oMath>
      </m:oMathPara>
    </w:p>
    <w:p>
      <w:pPr>
        <w:pStyle w:val="FirstParagraph"/>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m:oMathPara>
        <m:oMathParaPr>
          <m:jc m:val="center"/>
        </m:oMathParaPr>
        <m:oMath>
          <m:r>
            <m:rPr>
              <m:nor/>
              <m:sty m:val="p"/>
            </m:rPr>
            <m:t>Surplus PDRB</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B</m:t>
                      </m:r>
                      <m:r>
                        <m:t>A</m:t>
                      </m:r>
                      <m:r>
                        <m:t>U</m:t>
                      </m:r>
                      <m:r>
                        <m:rPr>
                          <m:sty m:val="p"/>
                        </m:rPr>
                        <m:t>,</m:t>
                      </m:r>
                      <m:r>
                        <m:t>i</m:t>
                      </m:r>
                    </m:sub>
                  </m:sSub>
                  <m:r>
                    <m:rPr>
                      <m:sty m:val="p"/>
                    </m:rPr>
                    <m:t>−</m:t>
                  </m:r>
                  <m:sSub>
                    <m:e>
                      <m:r>
                        <m:t>y</m:t>
                      </m:r>
                    </m:e>
                    <m:sub>
                      <m:r>
                        <m:t>R</m:t>
                      </m:r>
                      <m:r>
                        <m:t>E</m:t>
                      </m:r>
                      <m:r>
                        <m:rPr>
                          <m:sty m:val="p"/>
                        </m:rPr>
                        <m:t>+</m:t>
                      </m:r>
                      <m:r>
                        <m:t>A</m:t>
                      </m:r>
                      <m:r>
                        <m:t>P</m:t>
                      </m:r>
                      <m:r>
                        <m:t>C</m:t>
                      </m:r>
                      <m:r>
                        <m:rPr>
                          <m:sty m:val="p"/>
                        </m:rPr>
                        <m:t>,</m:t>
                      </m:r>
                      <m:r>
                        <m:t>i</m:t>
                      </m:r>
                    </m:sub>
                  </m:sSub>
                </m:e>
              </m:d>
            </m:e>
          </m:nary>
        </m:oMath>
      </m:oMathPara>
    </w:p>
    <w:p>
      <w:pPr>
        <w:pStyle w:val="FirstParagraph"/>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m:oMathPara>
        <m:oMathParaPr>
          <m:jc m:val="center"/>
        </m:oMathParaPr>
        <m:oMath>
          <m:r>
            <m:rPr>
              <m:nor/>
              <m:sty m:val="p"/>
            </m:rPr>
            <m:t>Surplus PDRB</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B</m:t>
                      </m:r>
                      <m:r>
                        <m:t>A</m:t>
                      </m:r>
                      <m:r>
                        <m:t>U</m:t>
                      </m:r>
                      <m:r>
                        <m:rPr>
                          <m:sty m:val="p"/>
                        </m:rPr>
                        <m:t>,</m:t>
                      </m:r>
                      <m:r>
                        <m:t>i</m:t>
                      </m:r>
                    </m:sub>
                  </m:sSub>
                  <m:r>
                    <m:rPr>
                      <m:sty m:val="p"/>
                    </m:rPr>
                    <m:t>−</m:t>
                  </m:r>
                  <m:sSub>
                    <m:e>
                      <m:r>
                        <m:t>y</m:t>
                      </m:r>
                    </m:e>
                    <m:sub>
                      <m:r>
                        <m:t>R</m:t>
                      </m:r>
                      <m:r>
                        <m:t>E</m:t>
                      </m:r>
                      <m:r>
                        <m:rPr>
                          <m:sty m:val="p"/>
                        </m:rPr>
                        <m:t>+</m:t>
                      </m:r>
                      <m:r>
                        <m:t>A</m:t>
                      </m:r>
                      <m:r>
                        <m:t>P</m:t>
                      </m:r>
                      <m:r>
                        <m:t>C</m:t>
                      </m:r>
                      <m:r>
                        <m:rPr>
                          <m:sty m:val="p"/>
                        </m:rPr>
                        <m:t>,</m:t>
                      </m:r>
                      <m:r>
                        <m:t>i</m:t>
                      </m:r>
                    </m:sub>
                  </m:sSub>
                </m:e>
              </m:d>
            </m:e>
          </m:nary>
        </m:oMath>
      </m:oMathPara>
    </w:p>
    <w:bookmarkEnd w:id="36"/>
    <w:bookmarkStart w:id="37" w:name="X9a27032dc92c79fd005f6f89d995256c95e517b"/>
    <w:p>
      <w:pPr>
        <w:pStyle w:val="Heading2"/>
      </w:pPr>
      <w:r>
        <w:t xml:space="preserve">BAB VII: HASIL EKSPERIMEN EMPIRIS DAN KOMPUTASI SURPLUS</w:t>
      </w:r>
    </w:p>
    <w:p>
      <w:pPr>
        <w:pStyle w:val="FirstParagraph"/>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pStyle w:val="BodyText"/>
      </w:pP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pStyle w:val="BodyText"/>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pStyle w:val="BodyText"/>
      </w:pP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pStyle w:val="BodyText"/>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pStyle w:val="BodyText"/>
      </w:pP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pStyle w:val="BodyText"/>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pStyle w:val="BodyText"/>
      </w:pP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pStyle w:val="BodyText"/>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pStyle w:val="BodyText"/>
      </w:pP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pStyle w:val="BodyText"/>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pStyle w:val="BodyText"/>
      </w:pP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bookmarkEnd w:id="37"/>
    <w:bookmarkStart w:id="38" w:name="X7d3ea8c90a0790791b951cfd6410e7728aeadab"/>
    <w:p>
      <w:pPr>
        <w:pStyle w:val="Heading2"/>
      </w:pPr>
      <w:r>
        <w:t xml:space="preserve">BAB VIII: KEBIJAKAN MORATORIUM SPASIAL DAN KESIMPULAN</w:t>
      </w:r>
    </w:p>
    <w:p>
      <w:pPr>
        <w:pStyle w:val="FirstParagraph"/>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pStyle w:val="BodyText"/>
      </w:pP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pStyle w:val="BodyText"/>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pStyle w:val="BodyText"/>
      </w:pP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pStyle w:val="BodyText"/>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pStyle w:val="BodyText"/>
      </w:pP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pStyle w:val="BodyText"/>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pStyle w:val="BodyText"/>
      </w:pP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pStyle w:val="BodyText"/>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pStyle w:val="BodyText"/>
      </w:pP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pStyle w:val="BodyText"/>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pStyle w:val="BodyText"/>
      </w:pP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2026-06-21T02:46:22Z</dcterms:created>
  <dcterms:modified xsi:type="dcterms:W3CDTF">2026-06-21T02:46:22Z</dcterms:modified>
</cp:coreProperties>
</file>

<file path=docProps/custom.xml><?xml version="1.0" encoding="utf-8"?>
<Properties xmlns="http://schemas.openxmlformats.org/officeDocument/2006/custom-properties" xmlns:vt="http://schemas.openxmlformats.org/officeDocument/2006/docPropsVTypes"/>
</file>