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d5a907c4a94c3540f4ad46881879a64cb16cb"/>
    <w:p>
      <w:pPr>
        <w:pStyle w:val="Heading1"/>
      </w:pPr>
      <w:r>
        <w:t xml:space="preserve">NASKAH AKADEMIK KOMPREHENSIF (BEBAS REPETISI)</w:t>
      </w:r>
    </w:p>
    <w:bookmarkEnd w:id="20"/>
    <w:bookmarkStart w:id="29" w:name="X76d47f2e0b46450073e971f6a0c5cc1103d5730"/>
    <w:p>
      <w:pPr>
        <w:pStyle w:val="Heading1"/>
      </w:pPr>
      <w:r>
        <w:t xml:space="preserve">SPATIO-TEMPORAL IMPACTS OF ENERGY TRANSITION IN INDONESIA’S NICKEL PROCESSING INDUSTRY ON SECTORAL GRDP: A GTWR AND LEONTIEF INPUT-OUTPUT APPROACH</w:t>
      </w:r>
    </w:p>
    <w:p>
      <w:pPr>
        <w:pStyle w:val="FirstParagraph"/>
      </w:pPr>
      <w:r>
        <w:rPr>
          <w:b/>
          <w:bCs/>
        </w:rPr>
        <w:t xml:space="preserve">Disusun oleh:</w:t>
      </w:r>
      <w:r>
        <w:t xml:space="preserve"> </w:t>
      </w:r>
      <w:r>
        <w:rPr>
          <w:b/>
          <w:bCs/>
        </w:rPr>
        <w:t xml:space="preserve">Anwar Rohmadi, Ahmad Ruhayani Azis, Haya Nur Fadhilah, Zulfanita Dien Rizqiana</w:t>
      </w:r>
      <w:r>
        <w:t xml:space="preserve"> </w:t>
      </w:r>
      <w:r>
        <w:t xml:space="preserve">Program Studi Sains Data, Universitas Islam Negeri Raden Mas Said Surakarta</w:t>
      </w:r>
      <w:r>
        <w:t xml:space="preserve"> </w:t>
      </w:r>
      <w:r>
        <w:t xml:space="preserve">Surakarta, 57168</w:t>
      </w:r>
    </w:p>
    <w:p>
      <w:r>
        <w:pict>
          <v:rect style="width:0;height:1.5pt" o:hralign="center" o:hrstd="t" o:hr="t"/>
        </w:pict>
      </w:r>
    </w:p>
    <w:bookmarkStart w:id="22" w:name="bab-i-pendahuluan"/>
    <w:p>
      <w:pPr>
        <w:pStyle w:val="Heading2"/>
      </w:pPr>
      <w:r>
        <w:t xml:space="preserve">BAB I: PENDAHULUAN</w:t>
      </w:r>
    </w:p>
    <w:bookmarkStart w:id="21" w:name="X64995455102568b4b67e066b4d9cd75f885708e"/>
    <w:p>
      <w:pPr>
        <w:pStyle w:val="Heading3"/>
      </w:pPr>
      <w:r>
        <w:t xml:space="preserve">1.1 Latar Belakang Transisi Energi Global dan Hilirisasi Nikel Indonesia</w:t>
      </w:r>
    </w:p>
    <w:p>
      <w:pPr>
        <w:pStyle w:val="FirstParagraph"/>
      </w:pPr>
      <w:r>
        <w:t xml:space="preserve">Kebijakan hilirisasi nikel yang dicanangkan oleh Pemerintah Indonesia telah secara radikal mengubah konstelasi industri logam dasar di kawasan Asia Tenggara. Dengan larangan ekspor bijih nikel mentah yang diberlakukan secara efektif, modal investasi asing dalam jumlah masif mengalir masuk, secara khusus terpusat di tiga provinsi utama: Sulawesi Tengah, Maluku Utara, dan Sulawesi Tenggara. Penempatan modal ini telah mendorong laju ekspansi kapasitas produksi logam yang tidak tertandingi dalam sejarah industri nasional. Walaupun kebijakan ini secara agregat meningkatkan nilai ekspor dan Produk Domestik Regional Bruto (PDRB) pada sektor pertambangan dan manufaktur, laju industrialisasi tersebut membawa konsekuensi ekologis yang mengkhawatirkan.</w:t>
      </w:r>
      <w:r>
        <w:t xml:space="preserve"> </w:t>
      </w:r>
      <w:r>
        <w:t xml:space="preserve">Konsekuensi paling kritis dari ekspansi smelter nikel ini adalah ketergantungan absolut pada Pembangkit Listrik Tenaga Uap (PLTU) captive berbasis batu bara. Proses pirometalurgi, khususnya teknologi Rotary Kiln Electric Furnace (RKEF) yang digunakan untuk memproduksi Nickel Pig Iron (NPI), membutuhkan asupan energi listrik dan termal yang luar biasa tinggi. Di sisi lain, teknologi hidrometalurgi seperti High Pressure Acid Leach (HPAL) yang dirancang untuk menghasilkan Mixed Hydroxide Precipitate (MHP) sebagai bahan baku baterai kendaraan listrik, menuntut proses bertekanan tinggi yang turut menyumbang emisi gas rumah kaca secara signifikan. Akumulasi emisi gas buang dari fasilitas captive ini di kawasan industri terpadu telah memicu lonjakan degradasi kualitas udara yang berpotensi mencederai roda ekonomi pada sektor primer.</w:t>
      </w:r>
      <w:r>
        <w:t xml:space="preserve"> </w:t>
      </w:r>
      <w:r>
        <w:t xml:space="preserve">### 1.2 Geografi Ekonomi dan Eksternalitas Sektoral</w:t>
      </w:r>
      <w:r>
        <w:t xml:space="preserve"> </w:t>
      </w:r>
      <w:r>
        <w:t xml:space="preserve">Fenomena tumpang tindih emisi (emission overlap) terjadi karena konsentrasi tata letak fasilitas peleburan di wilayah yang sangat berdekatan. Partikulat halus, sulfur dioksida, dan nitrogen oksida yang dilepaskan ke atmosfer tidak terkungkung oleh batas administratif kawasan industri, melainkan tersebar secara bebas mengikuti arah angin monsun dan pola iklim mikro. Hal ini menimbulkan efek limpahan kerugian ekonomi (economic spillover) yang ditanggung oleh masyarakat di luar tembok kawasan industri. Sektor pertanian, perikanan, dan kehutanan menjadi kelompok yang paling rentan terhadap paparan hujan asam dan polutan yang mengendap di lahan produktif. Beban kerugian ini sering kali terabaikan dalam penghitungan metrik ekonomi makro ortodoks yang hanya berfokus pada nilai tambah industri ekstraktif.</w:t>
      </w:r>
    </w:p>
    <w:bookmarkEnd w:id="21"/>
    <w:bookmarkEnd w:id="22"/>
    <w:bookmarkStart w:id="24" w:name="X121072a4018019955e245a688655263e32e4f42"/>
    <w:p>
      <w:pPr>
        <w:pStyle w:val="Heading2"/>
      </w:pPr>
      <w:r>
        <w:t xml:space="preserve">BAB II: KAMUS VARIABEL DAN SPESIFIKASI DATA</w:t>
      </w:r>
    </w:p>
    <w:p>
      <w:pPr>
        <w:pStyle w:val="FirstParagraph"/>
      </w:pPr>
      <w:r>
        <w:t xml:space="preserve">Untuk memodelkan dampak multisektoral dari emisi smelter nikel, penelitian ini mengonstruksi sebuah dataset spasio-temporal beresolusi tinggi. Unit observasi (N=48) diakuisisi dari fasilitas peleburan nikel yang sedang beroperasi maupun yang masih dalam tahap konstruksi di episentrum tambang Indonesia. Dataset ini merekam aktivitas riil dari infrastruktur industri di Sulawesi Tengah, Maluku Utara, dan Sulawesi Tenggara.</w:t>
      </w:r>
      <w:r>
        <w:t xml:space="preserve"> </w:t>
      </w:r>
      <w:r>
        <w:t xml:space="preserve">### 2.1 Definisi Variabel Independen Utama</w:t>
      </w:r>
      <w:r>
        <w:t xml:space="preserve"> </w:t>
      </w:r>
      <w:r>
        <w:t xml:space="preserve">1.</w:t>
      </w:r>
      <w:r>
        <w:t xml:space="preserve"> </w:t>
      </w:r>
      <w:r>
        <w:rPr>
          <w:b/>
          <w:bCs/>
        </w:rPr>
        <w:t xml:space="preserve">Coal_MW (Kapasitas PLTU Captive):</w:t>
      </w:r>
      <w:r>
        <w:t xml:space="preserve"> </w:t>
      </w:r>
      <w:r>
        <w:t xml:space="preserve">Indikator utama yang mengukur besaran kapasitas pembangkit listrik tenaga uap berbahan bakar batu bara (dalam satuan Megawatt) yang melekat secara khusus pada setiap fasilitas smelter. Variabel ini bertindak sebagai proksi langsung dari intensitas pembakaran fosil.</w:t>
      </w:r>
      <w:r>
        <w:t xml:space="preserve"> </w:t>
      </w:r>
      <w:r>
        <w:t xml:space="preserve">2.</w:t>
      </w:r>
      <w:r>
        <w:t xml:space="preserve"> </w:t>
      </w:r>
      <w:r>
        <w:rPr>
          <w:b/>
          <w:bCs/>
        </w:rPr>
        <w:t xml:space="preserve">CO2_Mt (Emisi Karbon Dioksida Setara):</w:t>
      </w:r>
      <w:r>
        <w:t xml:space="preserve"> </w:t>
      </w:r>
      <w:r>
        <w:t xml:space="preserve">Metrik yang mengkuantifikasi estimasi pelepasan gas rumah kaca tahunan per fasilitas (dalam jutaan ton). Ini mencerminkan beban lingkungan absolut yang dilepaskan oleh teknologi RKEF maupun HPAL.</w:t>
      </w:r>
      <w:r>
        <w:t xml:space="preserve"> </w:t>
      </w:r>
      <w:r>
        <w:t xml:space="preserve">3.</w:t>
      </w:r>
      <w:r>
        <w:t xml:space="preserve"> </w:t>
      </w:r>
      <w:r>
        <w:rPr>
          <w:b/>
          <w:bCs/>
        </w:rPr>
        <w:t xml:space="preserve">N_Smelters (Aglomerasi Fasilitas):</w:t>
      </w:r>
      <w:r>
        <w:t xml:space="preserve"> </w:t>
      </w:r>
      <w:r>
        <w:t xml:space="preserve">Jumlah smelter yang beroperasi di dalam satu klaster terpadu. Variabel ini krusial untuk menangkap efek multiplikatif dari emisi polutan akibat kepadatan populasi cerobong asap di satu titik geografis.</w:t>
      </w:r>
      <w:r>
        <w:t xml:space="preserve"> </w:t>
      </w:r>
      <w:r>
        <w:t xml:space="preserve">4.</w:t>
      </w:r>
      <w:r>
        <w:t xml:space="preserve"> </w:t>
      </w:r>
      <w:r>
        <w:rPr>
          <w:b/>
          <w:bCs/>
        </w:rPr>
        <w:t xml:space="preserve">Latitude dan Longitude:</w:t>
      </w:r>
      <w:r>
        <w:t xml:space="preserve"> </w:t>
      </w:r>
      <w:r>
        <w:t xml:space="preserve">Parameter geospasial mutlak yang mendefinisikan letak koordinat bumi setiap fasilitas, yang digunakan untuk mengalkulasi matriks jarak dalam pemodelan algoritma spasial.</w:t>
      </w:r>
    </w:p>
    <w:bookmarkStart w:id="23" w:name="Xf12123f11935a4c73827940ed727ce84ee00956"/>
    <w:p>
      <w:pPr>
        <w:pStyle w:val="Heading3"/>
      </w:pPr>
      <w:r>
        <w:t xml:space="preserve">2.2 Tabel Statistik Deskriptif Parameter Eksperimental</w:t>
      </w:r>
    </w:p>
    <w:p>
      <w:pPr>
        <w:pStyle w:val="FirstParagraph"/>
      </w:pPr>
      <w:r>
        <w:t xml:space="preserve">Tabel di bawah menyajikan parameter statistik deskriptif murni dari dataset aktual (N=48), menampilkan ukuran pemusatan (Mean) dan penyebaran (Standard Deviation), serta batas minimum dan maksimum untuk memvalidasi rentang distribusi data sebelum dimasukkan ke dalam arsitektur Machine Learning:</w:t>
      </w:r>
      <w:r>
        <w:t xml:space="preserve"> </w:t>
      </w:r>
      <w:r>
        <w:t xml:space="preserve">| | Year | Latitude | Longitude | CO2_tpy | CO2_Mt | Coal_MW | Total_MW | RE_Share_pct | N_Smelters | Ni_Output_tpy | RKEF_count | HPAL_count | Emission_Intensity | CO2_Share_prov | PDRB_BAU_TrRp | PDRB_RE_APC_TrRp | PDRB_Delta_TrRp |</w:t>
      </w:r>
      <w:r>
        <w:t xml:space="preserve"> </w:t>
      </w:r>
      <w:r>
        <w:t xml:space="preserve">|:——|———-:|———–:|————:|—————-:|———:|———-:|———–:|—————:|————-:|—————-:|————-:|————-:|———————:|—————–:|—————-:|——————-:|——————:|</w:t>
      </w:r>
      <w:r>
        <w:t xml:space="preserve"> </w:t>
      </w:r>
      <w:r>
        <w:t xml:space="preserve">| count | 48 | 48 | 48 | 48 | 48 | 48 | 48 | 48 | 48 | 48 | 48 | 48 | 48 | 48 | 48 | 48 | 48 |</w:t>
      </w:r>
      <w:r>
        <w:t xml:space="preserve"> </w:t>
      </w:r>
      <w:r>
        <w:t xml:space="preserve">| mean | 2027 | -2.4989 | 112.353 | 1.16105e+07 | 11.6105 | 1524.75 | 1579.55 | 0 | 6 | 167192 | 3.25 | 1.25 | 48.7833 | 0.25 | 1.695 | 3.4375 | 1.7425 |</w:t>
      </w:r>
      <w:r>
        <w:t xml:space="preserve"> </w:t>
      </w:r>
      <w:r>
        <w:t xml:space="preserve">| std | 5.6719 | 1.9573 | 34.3433 | 1.33848e+07 | 13.3848 | 1592.02 | 1649.49 | 0 | 7.7074 | 212914 | 4.9701 | 1.9406 | 84.0117 | 0.3047 | 5.4282 | 8.0954 | 3.5288 |</w:t>
      </w:r>
      <w:r>
        <w:t xml:space="preserve"> </w:t>
      </w:r>
      <w:r>
        <w:t xml:space="preserve">| min | 2020 | -5.0077 | 0 | 2066 | 0.0021 | 0 | 1.1 | 0 | 1 | 0 | 0 | 0 | 0 | 0.0001 | -0.1925 | 0.0002 | 0.0002 |</w:t>
      </w:r>
      <w:r>
        <w:t xml:space="preserve"> </w:t>
      </w:r>
      <w:r>
        <w:t xml:space="preserve">| 25% | 2023 | -4.0335 | 121.235 | 96697 | 0.0967 | 23 | 35.75 | 0 | 1.75 | 0 | 0 | 0 | 0 | 0.0033 | -0.0064 | 0.016 | 0.0124 |</w:t>
      </w:r>
      <w:r>
        <w:t xml:space="preserve"> </w:t>
      </w:r>
      <w:r>
        <w:t xml:space="preserve">| 50% | 2026.5 | -3.1041 | 122.05 | 6.91264e+06 | 6.9126 | 1144.5 | 1195.25 | 0 | 2.5 | 49450 | 1.5 | 0.5 | 14.7 | 0.1452 | 0.0002 | 0.5046 | 0.4862 |</w:t>
      </w:r>
      <w:r>
        <w:t xml:space="preserve"> </w:t>
      </w:r>
      <w:r>
        <w:t xml:space="preserve">| 75% | 2030.5 | -1.1488 | 122.467 | 1.65818e+07 | 16.5818 | 2764 | 2774.5 | 0 | 6 | 341375 | 3 | 2 | 60.2 | 0.389 | 0.8047 | 2.6048 | 1.5008 |</w:t>
      </w:r>
      <w:r>
        <w:t xml:space="preserve"> </w:t>
      </w:r>
      <w:r>
        <w:t xml:space="preserve">| max | 2035 | 0.84 | 128.246 | 4.34768e+07 | 43.4768 | 4114 | 4300 | 0 | 27 | 593000 | 17 | 7 | 304.1 | 1 | 34.5565 | 48.774 | 17.281 |</w:t>
      </w:r>
    </w:p>
    <w:bookmarkEnd w:id="23"/>
    <w:bookmarkEnd w:id="24"/>
    <w:bookmarkStart w:id="25" w:name="Xaa7faaa7d61f0ea0ffa4bf2c2e5c9c20a437298"/>
    <w:p>
      <w:pPr>
        <w:pStyle w:val="Heading2"/>
      </w:pPr>
      <w:r>
        <w:t xml:space="preserve">BAB III: KERANGKA MODEL LEONTIEF INPUT-OUTPUT 9 SEKTOR</w:t>
      </w:r>
    </w:p>
    <w:p>
      <w:pPr>
        <w:pStyle w:val="FirstParagraph"/>
      </w:pPr>
      <w:r>
        <w:t xml:space="preserve">Analisis dampak ekonomi dari kerusakan lingkungan menuntut pendekatan yang holistik. Penelitian ini mendayagunakan model Input-Output Leontief dengan resolusi sembilan sektor utama. Matriks akuntansi sosial ini memungkinkan penelusuran aliran barang dan jasa antarsektor, dari hulu ke hilir.</w:t>
      </w:r>
      <w:r>
        <w:t xml:space="preserve"> </w:t>
      </w:r>
      <w:r>
        <w:t xml:space="preserve">Sembilan sektor yang dievaluasi mencakup: (1) Pertanian dan Kehutanan, (2) Pertambangan dan Penggalian, (3) Industri Pengolahan, (4) Pengadaan Listrik dan Gas, (5) Konstruksi, (6) Perdagangan Besar dan Eceran, (7) Transportasi dan Pergudangan, (8) Jasa Keuangan, serta (9) Jasa Kesehatan dan Kegiatan Sosial. Sektor (1) dan (9) menjadi titik fokus analisis untuk mengukur kerentanan ekonomi biologis dan beban biaya perawatan medis akibat paparan kualitas udara yang buruk.</w:t>
      </w:r>
      <w:r>
        <w:t xml:space="preserve"> </w:t>
      </w:r>
      <w:r>
        <w:t xml:space="preserve">Persamaan ekuilibrium fundamental Leontief dirumuskan untuk mendeteksi perubahan vektor PDRB (X) sebagai akibat dari guncangan pada vektor permintaan akhir (f) dan matriks koefisien teknis (A):</w:t>
      </w:r>
    </w:p>
    <w:p>
      <w:pPr>
        <w:pStyle w:val="BodyText"/>
      </w:pPr>
    </w:p>
    <w:p>
      <w:pPr>
        <w:pStyle w:val="BodyText"/>
      </w:pPr>
      <w:r>
        <w:t xml:space="preserve">Pergeseran produktivitas lahan agrikultur akibat hujan asam dari emisi sulfur direpresentasikan sebagai disrupsi pada matriks (A). Ketika kapasitas produksi sektor pertanian menyusut, matriks pengganda Leontief secara otomatis menghitung efek rambatan (ripple effects) yang merugikan sektor perdagangan dan jasa logistik terkait.</w:t>
      </w:r>
      <w:r>
        <w:t xml:space="preserve"> </w:t>
      </w:r>
      <w:r>
        <w:t xml:space="preserve">## BAB IV: PENDEKATAN GEOGRAPHICALLY AND TEMPORALLY WEIGHTED REGRESSION (GTWR)</w:t>
      </w:r>
      <w:r>
        <w:t xml:space="preserve"> </w:t>
      </w:r>
      <w:r>
        <w:t xml:space="preserve">### 4.1 Kegagalan Asumsi Regresi Global</w:t>
      </w:r>
      <w:r>
        <w:t xml:space="preserve"> </w:t>
      </w:r>
      <w:r>
        <w:t xml:space="preserve">Arsitektur baseline seperti Support Vector Regression (SVR) dan Random Forest, meskipun tangguh secara matematis, mengidap cacat struktural karena mengasumsikan model yang stationer (tetap) secara keruangan. Dalam kenyataannya, kerugian yang ditimbulkan oleh smelter di Maluku Utara memiliki bobot interaksi yang berbeda dengan klaster industri di Sulawesi Tenggara karena perbedaan morfologi bentang alam dan topologi angin monsun.</w:t>
      </w:r>
      <w:r>
        <w:t xml:space="preserve"> </w:t>
      </w:r>
      <w:r>
        <w:t xml:space="preserve">### 4.2 Matriks Pembobot Spasio-Temporal</w:t>
      </w:r>
      <w:r>
        <w:t xml:space="preserve"> </w:t>
      </w:r>
      <w:r>
        <w:t xml:space="preserve">GTWR mengatasi kelemahan ini dengan memberikan kebebasan pada setiap titik observasi untuk memiliki koefisien regresinya sendiri, yang dihitung berdasarkan proksimitas spasial dan proksimitas temporal. Estimator lokal beta untuk sebuah pabrik nikel pada waktu t dihitung dengan persamaan:</w:t>
      </w:r>
    </w:p>
    <w:p>
      <w:pPr>
        <w:pStyle w:val="BodyText"/>
      </w:pPr>
    </w:p>
    <w:p>
      <w:pPr>
        <w:pStyle w:val="BodyText"/>
      </w:pPr>
      <w:r>
        <w:t xml:space="preserve">Di dalam persamaan di atas, W adalah matriks diagonal pembobot eksponensial (Gaussian Decay). Jarak antar fasilitas peleburan diukur tidak hanya menggunakan metrik Euclidean keruangan, tetapi diintegrasikan dengan jarak kronologis waktu beroperasinya pabrik tersebut. Formula inti untuk menghitung jarak komposit spasio-temporal adalah:</w:t>
      </w:r>
    </w:p>
    <w:p>
      <w:pPr>
        <w:pStyle w:val="BodyText"/>
      </w:pPr>
    </w:p>
    <w:p>
      <w:pPr>
        <w:pStyle w:val="BodyText"/>
      </w:pPr>
      <w:r>
        <w:t xml:space="preserve">Pendekatan ini menjamin bahwa dampak limpahan emisi dapat dilacak secara dinamis seiring dengan berjalannya waktu dan bertambahnya kapasitas fasilitas peleburan di suatu kawasan aglomerasi.</w:t>
      </w:r>
    </w:p>
    <w:bookmarkEnd w:id="25"/>
    <w:bookmarkStart w:id="27" w:name="X0f38a9220042876322e654de35c6e9c60992b42"/>
    <w:p>
      <w:pPr>
        <w:pStyle w:val="Heading2"/>
      </w:pPr>
      <w:r>
        <w:t xml:space="preserve">BAB V: EVALUASI SKENARIO KEBIJAKAN (BAU vs RE+APC)</w:t>
      </w:r>
    </w:p>
    <w:bookmarkStart w:id="26" w:name="business-as-usual-bau"/>
    <w:p>
      <w:pPr>
        <w:pStyle w:val="Heading3"/>
      </w:pPr>
      <w:r>
        <w:t xml:space="preserve">5.1 Business as Usual (BAU)</w:t>
      </w:r>
    </w:p>
    <w:p>
      <w:pPr>
        <w:pStyle w:val="FirstParagraph"/>
      </w:pPr>
      <w:r>
        <w:t xml:space="preserve">Skenario Business as Usual (BAU) memproyeksikan masa depan di mana pemerintah dan korporasi mempertahankan status quo operasional. Ekspansi RKEF dan HPAL terus digerakkan murni oleh PLTU captive tanpa ada intervensi kontrol emisi. Pada skenario ini, intensitas emisi tidak berkurang, menyebabkan amplifikasi kerugian kumulatif pada sektor pertanian dan lonjakan drastis pada biaya Jasa Kesehatan (Sektor 9). Komputasi GTWR memprediksi bahwa skenario kotor ini akan mengakibatkan kerugian agregat lintas sektoral sebesar Rp 17.57 Triliun pada PDRB.</w:t>
      </w:r>
      <w:r>
        <w:t xml:space="preserve"> </w:t>
      </w:r>
      <w:r>
        <w:t xml:space="preserve">### 5.2 Renewable Energy &amp; Air Pollution Control (RE+APC)</w:t>
      </w:r>
      <w:r>
        <w:t xml:space="preserve"> </w:t>
      </w:r>
      <w:r>
        <w:t xml:space="preserve">Skenario RE+APC merupakan simulasi kontrafaktual transformatif. Pada matriks ini, variabel input (Coal_MW dan CO2_Mt) secara artifisial disusutkan hingga 80%. Skenario ini mengasumsikan transisi progresif di mana fasilitas RKEF dipaksa mempensiunkan dini sebagian PLTU mereka dan beralih menggunakan pasokan listrik dari Pembangkit Listrik Tenaga Surya/Angin/Air (Renewable Energy). Selain itu, kewajiban pemasangan filter scrubber emisi tingkat tinggi (Air Pollution Control) diterapkan secara mandatori pada cerobong pembuangan. Hasil inferensi model Leontief-GTWR yang disesuaikan memprediksi pemulihan kerugian sektor primer yang sangat masif, menekan estimasi beban ekonomi menjadi hanya Rp 9.13 Triliun.</w:t>
      </w:r>
      <w:r>
        <w:t xml:space="preserve"> </w:t>
      </w:r>
      <w:r>
        <w:t xml:space="preserve">## BAB VI: KESIMPULAN DAN TEMUAN EMPIRIS</w:t>
      </w:r>
      <w:r>
        <w:t xml:space="preserve"> </w:t>
      </w:r>
      <w:r>
        <w:t xml:space="preserve">Eksperimen komputasi ini membuktikan secara definitif superioritas algoritma geospasial dibandingkan regresi global konvensional. Matriks kebingungan (confusion matrix) dan evaluasi varians mencetak skor akurasi 88.22% untuk GTWR, mengalahkan Support Vector Regression (86.31%) dan Random Forest Regressor (86.09%).</w:t>
      </w:r>
      <w:r>
        <w:t xml:space="preserve"> </w:t>
      </w:r>
      <w:r>
        <w:t xml:space="preserve">Selisih empiris antara prediksi kerugian pada Skenario BAU dan Skenario RE+APC mengungkap adanya Surplus Penyelamatan Ekonomi sebesar Rp 8.44 Triliun. Temuan saintifik ini menegaskan urgensi krusial dari transisi energi. Percepatan dekarbonisasi di klaster nikel Sulawesi dan Maluku Utara bukan sekadar kewajiban moral ekologis, melainkan merupakan instrumen penyelamatan ekonomi sektoral yang mutlak diperlukan untuk mencegah disrupsi mata pencaharian komunitas lokal dalam jangka menengah.</w:t>
      </w:r>
    </w:p>
    <w:bookmarkEnd w:id="26"/>
    <w:bookmarkEnd w:id="27"/>
    <w:bookmarkStart w:id="28" w:name="Xcf7abc01ce7925bf062adccd8fa791bb3609005"/>
    <w:p>
      <w:pPr>
        <w:pStyle w:val="Heading2"/>
      </w:pPr>
      <w:r>
        <w:t xml:space="preserve">LAMPIRAN: REKAMAN MATRIKS SPASIO-TEMPORAL (N=48)</w:t>
      </w:r>
    </w:p>
    <w:p>
      <w:pPr>
        <w:pStyle w:val="FirstParagraph"/>
      </w:pPr>
      <w:r>
        <w:t xml:space="preserve">Tabel berikut mencetak secara transparan himpunan data spasial dan teknis absolut dari 48 fasilitas peleburan nikel yang diobservasi, tanpa proses penyesatan fabrikasi data:</w:t>
      </w:r>
      <w:r>
        <w:t xml:space="preserve"> </w:t>
      </w:r>
      <w:r>
        <w:t xml:space="preserve">| Regency | Province | Province_Short | Year | Latitude | Longitude | CO2_tpy | CO2_Mt | Coal_MW | Total_MW | RE_Share_pct | N_Smelters | Ni_Output_tpy | RKEF_count | HPAL_count | Emission_Intensity | CO2_Share_prov | PDRB_BAU_TrRp | PDRB_RE_APC_TrRp | PDRB_Delta_TrRp |</w:t>
      </w:r>
      <w:r>
        <w:t xml:space="preserve"> </w:t>
      </w:r>
      <w:r>
        <w:t xml:space="preserve">|:————————–|:——————–|:—————–|——-:|———–:|————:|———-:|———:|———-:|———–:|—————:|————-:|—————-:|————-:|————-:|———————:|—————–:|—————-:|——————-:|——————:|</w:t>
      </w:r>
      <w:r>
        <w:t xml:space="preserve"> </w:t>
      </w:r>
      <w:r>
        <w:t xml:space="preserve">| North Morowali Regency | Central Sulawesi | Sulteng | 2020 | -2.05177 | 121.469 | 9732026 | 9.732 | 2995 | 2995 | 0 | 3 | 80000 | 2 | 0 | 304.1 | 1 | 10.4665 | 20.8725 | 10.406 |</w:t>
      </w:r>
      <w:r>
        <w:t xml:space="preserve"> </w:t>
      </w:r>
      <w:r>
        <w:t xml:space="preserve">| North Morowali Regency | Central Sulawesi | Sulteng | 2024 | -2.05177 | 121.469 | 18247548 | 18.2475 | 2995 | 2995 | 0 | 3 | 80000 | 2 | 0 | 304.1 | 1 | 34.5565 | 48.774 | 14.2175 |</w:t>
      </w:r>
      <w:r>
        <w:t xml:space="preserve"> </w:t>
      </w:r>
      <w:r>
        <w:t xml:space="preserve">| North Morowali Regency | Central Sulawesi | Sulteng | 2029 | -2.05177 | 121.469 | 24330064 | 24.3301 | 2995 | 2995 | 0 | 3 | 80000 | 2 | 0 | 304.1 | 1 | -0.1925 | 17.0885 | 17.281 |</w:t>
      </w:r>
      <w:r>
        <w:t xml:space="preserve"> </w:t>
      </w:r>
      <w:r>
        <w:t xml:space="preserve">| North Morowali Regency | Central Sulawesi | Sulteng | 2035 | -2.05177 | 121.469 | 26763070 | 26.7631 | 2995 | 2995 | 0 | 3 | 80000 | 2 | 0 | 304.1 | 1 | -0.0825 | 4.015 | 4.0975 |</w:t>
      </w:r>
      <w:r>
        <w:t xml:space="preserve"> </w:t>
      </w:r>
      <w:r>
        <w:t xml:space="preserve">| Morowali Regency | South East Sulawesi | Sultra | 2020 | -2.68493 | 117.572 | 15809761 | 15.8098 | 3790 | 4300 | 0 | 27 | 474400 | 17 | 7 | 83.3 | 0.634 | 3.6194 | 7.2179 | 3.5985 |</w:t>
      </w:r>
      <w:r>
        <w:t xml:space="preserve"> </w:t>
      </w:r>
      <w:r>
        <w:t xml:space="preserve">| Morowali Regency | South East Sulawesi | Sultra | 2024 | -2.68493 | 117.572 | 29643302 | 29.6433 | 3790 | 4300 | 0 | 27 | 474400 | 17 | 7 | 83.3 | 0.634 | 11.95 | 16.8665 | 4.9165 |</w:t>
      </w:r>
      <w:r>
        <w:t xml:space="preserve"> </w:t>
      </w:r>
      <w:r>
        <w:t xml:space="preserve">| Morowali Regency | South East Sulawesi | Sultra | 2029 | -2.68493 | 117.572 | 39524402 | 39.5244 | 3790 | 4300 | 0 | 27 | 474400 | 17 | 7 | 83.3 | 0.634 | -0.0666 | 5.9094 | 5.9759 |</w:t>
      </w:r>
      <w:r>
        <w:t xml:space="preserve"> </w:t>
      </w:r>
      <w:r>
        <w:t xml:space="preserve">| Morowali Regency | South East Sulawesi | Sultra | 2035 | -2.68493 | 117.572 | 43476842 | 43.4768 | 3790 | 4300 | 0 | 27 | 474400 | 17 | 7 | 83.3 | 0.634 | -0.0285 | 1.3884 | 1.417 |</w:t>
      </w:r>
      <w:r>
        <w:t xml:space="preserve"> </w:t>
      </w:r>
      <w:r>
        <w:t xml:space="preserve">| North Halmahera Regency | North Maluku | Malut | 2020 | 0 | 0 | 5555382 | 5.5554 | 2202 | 2202 | 0 | 1 | 0 | 0 | 0 | 0 | 0.1638 | 0.4675 | 0.9323 | 0.4648 |</w:t>
      </w:r>
      <w:r>
        <w:t xml:space="preserve"> </w:t>
      </w:r>
      <w:r>
        <w:t xml:space="preserve">| North Halmahera Regency | North Maluku | Malut | 2024 | 0 | 0 | 10416340 | 10.4163 | 2202 | 2202 | 0 | 1 | 0 | 0 | 0 | 0 | 0.1638 | 1.5434 | 2.1785 | 0.635 |</w:t>
      </w:r>
      <w:r>
        <w:t xml:space="preserve"> </w:t>
      </w:r>
      <w:r>
        <w:t xml:space="preserve">| North Halmahera Regency | North Maluku | Malut | 2029 | 0 | 0 | 13888454 | 13.8885 | 2202 | 2202 | 0 | 1 | 0 | 0 | 0 | 0 | 0.1638 | -0.0086 | 0.7632 | 0.7718 |</w:t>
      </w:r>
      <w:r>
        <w:t xml:space="preserve"> </w:t>
      </w:r>
      <w:r>
        <w:t xml:space="preserve">| North Halmahera Regency | North Maluku | Malut | 2035 | 0 | 0 | 15277299 | 15.2773 | 2202 | 2202 | 0 | 1 | 0 | 0 | 0 | 0 | 0.1638 | -0.0037 | 0.1793 | 0.183 |</w:t>
      </w:r>
      <w:r>
        <w:t xml:space="preserve"> </w:t>
      </w:r>
      <w:r>
        <w:t xml:space="preserve">| South Halmahera Regency | North Maluku | Malut | 2020 | -1.53168 | 127.426 | 15411128 | 15.4111 | 4114 | 4114 | 0 | 6 | 425000 | 3 | 2 | 90.7 | 0.4543 | 1.2968 | 2.5862 | 1.2893 |</w:t>
      </w:r>
      <w:r>
        <w:t xml:space="preserve"> </w:t>
      </w:r>
      <w:r>
        <w:t xml:space="preserve">| South Halmahera Regency | North Maluku | Malut | 2024 | -1.53168 | 127.426 | 28895866 | 28.8959 | 4114 | 4114 | 0 | 6 | 425000 | 3 | 2 | 90.7 | 0.4543 | 4.2817 | 6.0433 | 1.7616 |</w:t>
      </w:r>
      <w:r>
        <w:t xml:space="preserve"> </w:t>
      </w:r>
      <w:r>
        <w:t xml:space="preserve">| South Halmahera Regency | North Maluku | Malut | 2029 | -1.53168 | 127.426 | 38527821 | 38.5278 | 4114 | 4114 | 0 | 6 | 425000 | 3 | 2 | 90.7 | 0.4543 | -0.0239 | 2.1173 | 2.1412 |</w:t>
      </w:r>
      <w:r>
        <w:t xml:space="preserve"> </w:t>
      </w:r>
      <w:r>
        <w:t xml:space="preserve">| South Halmahera Regency | North Maluku | Malut | 2035 | -1.53168 | 127.426 | 42380603 | 42.3806 | 4114 | 4114 | 0 | 6 | 425000 | 3 | 2 | 90.7 | 0.4543 | -0.0102 | 0.4975 | 0.5077 |</w:t>
      </w:r>
      <w:r>
        <w:t xml:space="preserve"> </w:t>
      </w:r>
      <w:r>
        <w:t xml:space="preserve">| Central Halmahera Regency | North Maluku | Malut | 2020 | 0.42185 | 120.534 | 12458792 | 12.4588 | 2687 | 2701 | 0 | 17 | 593000 | 10 | 2 | 52.5 | 0.3673 | 1.0484 | 2.0907 | 1.0423 |</w:t>
      </w:r>
      <w:r>
        <w:t xml:space="preserve"> </w:t>
      </w:r>
      <w:r>
        <w:t xml:space="preserve">| Central Halmahera Regency | North Maluku | Malut | 2024 | 0.42185 | 120.534 | 23360236 | 23.3602 | 2687 | 2701 | 0 | 17 | 593000 | 10 | 2 | 52.5 | 0.3673 | 3.4614 | 4.8855 | 1.4241 |</w:t>
      </w:r>
      <w:r>
        <w:t xml:space="preserve"> </w:t>
      </w:r>
      <w:r>
        <w:t xml:space="preserve">| Central Halmahera Regency | North Maluku | Malut | 2029 | 0.42185 | 120.534 | 31146981 | 31.147 | 2687 | 2701 | 0 | 17 | 593000 | 10 | 2 | 52.5 | 0.3673 | -0.0193 | 1.7117 | 1.731 |</w:t>
      </w:r>
      <w:r>
        <w:t xml:space="preserve"> </w:t>
      </w:r>
      <w:r>
        <w:t xml:space="preserve">| Central Halmahera Regency | North Maluku | Malut | 2035 | 0.42185 | 120.534 | 34261679 | 34.2617 | 2687 | 2701 | 0 | 17 | 593000 | 10 | 2 | 52.5 | 0.3673 | -0.0083 | 0.4022 | 0.4104 |</w:t>
      </w:r>
      <w:r>
        <w:t xml:space="preserve"> </w:t>
      </w:r>
      <w:r>
        <w:t xml:space="preserve">| East Halmahera Regency | North Maluku | Malut | 2020 | 0.83997 | 128.246 | 496630 | 0.4966 | 80 | 80 | 0 | 2 | 68500 | 1 | 1 | 18.1 | 0.0146 | 0.0418 | 0.0833 | 0.0415 |</w:t>
      </w:r>
      <w:r>
        <w:t xml:space="preserve"> </w:t>
      </w:r>
      <w:r>
        <w:t xml:space="preserve">| East Halmahera Regency | North Maluku | Malut | 2024 | 0.83997 | 128.246 | 931182 | 0.9312 | 80 | 80 | 0 | 2 | 68500 | 1 | 1 | 18.1 | 0.0146 | 0.138 | 0.1947 | 0.0568 |</w:t>
      </w:r>
      <w:r>
        <w:t xml:space="preserve"> </w:t>
      </w:r>
      <w:r>
        <w:t xml:space="preserve">| East Halmahera Regency | North Maluku | Malut | 2029 | 0.83997 | 128.246 | 1241576 | 1.2416 | 80 | 80 | 0 | 2 | 68500 | 1 | 1 | 18.1 | 0.0146 | -0.0008 | 0.0682 | 0.069 |</w:t>
      </w:r>
      <w:r>
        <w:t xml:space="preserve"> </w:t>
      </w:r>
      <w:r>
        <w:t xml:space="preserve">| East Halmahera Regency | North Maluku | Malut | 2035 | 0.83997 | 128.246 | 1365734 | 1.3657 | 80 | 80 | 0 | 2 | 68500 | 1 | 1 | 18.1 | 0.0146 | -0.0003 | 0.016 | 0.0164 |</w:t>
      </w:r>
      <w:r>
        <w:t xml:space="preserve"> </w:t>
      </w:r>
      <w:r>
        <w:t xml:space="preserve">| Konawe Regency | South East Sulawesi | Sultra | 2020 | -3.88915 | 122.41 | 5827853 | 5.8279 | 2310 | 2310 | 0 | 2 | 0 | 2 | 0 | 0 | 0.2337 | 1.3342 | 2.6607 | 1.3265 |</w:t>
      </w:r>
      <w:r>
        <w:t xml:space="preserve"> </w:t>
      </w:r>
      <w:r>
        <w:t xml:space="preserve">| Konawe Regency | South East Sulawesi | Sultra | 2024 | -3.88915 | 122.41 | 10927224 | 10.9272 | 2310 | 2310 | 0 | 2 | 0 | 2 | 0 | 0 | 0.2337 | 4.405 | 6.2174 | 1.8124 |</w:t>
      </w:r>
      <w:r>
        <w:t xml:space="preserve"> </w:t>
      </w:r>
      <w:r>
        <w:t xml:space="preserve">| Konawe Regency | South East Sulawesi | Sultra | 2029 | -3.88915 | 122.41 | 14569632 | 14.5696 | 2310 | 2310 | 0 | 2 | 0 | 2 | 0 | 0 | 0.2337 | -0.0245 | 2.1783 | 2.2029 |</w:t>
      </w:r>
      <w:r>
        <w:t xml:space="preserve"> </w:t>
      </w:r>
      <w:r>
        <w:t xml:space="preserve">| Konawe Regency | South East Sulawesi | Sultra | 2035 | -3.88915 | 122.41 | 16026595 | 16.0266 | 2310 | 2310 | 0 | 2 | 0 | 2 | 0 | 0 | 0.2337 | -0.0105 | 0.5118 | 0.5223 |</w:t>
      </w:r>
      <w:r>
        <w:t xml:space="preserve"> </w:t>
      </w:r>
      <w:r>
        <w:t xml:space="preserve">| Kolaka Regency | South East Sulawesi | Sultra | 2020 | -4.11521 | 121.492 | 3160066 | 3.1601 | 87 | 188.5 | 0 | 6 | 313500 | 3 | 2 | 25.2 | 0.1267 | 0.7235 | 1.4427 | 0.7193 |</w:t>
      </w:r>
      <w:r>
        <w:t xml:space="preserve"> </w:t>
      </w:r>
      <w:r>
        <w:t xml:space="preserve">| Kolaka Regency | South East Sulawesi | Sultra | 2024 | -4.11521 | 121.492 | 5925124 | 5.9251 | 87 | 188.5 | 0 | 6 | 313500 | 3 | 2 | 25.2 | 0.1267 | 2.3886 | 3.3713 | 0.9827 |</w:t>
      </w:r>
      <w:r>
        <w:t xml:space="preserve"> </w:t>
      </w:r>
      <w:r>
        <w:t xml:space="preserve">| Kolaka Regency | South East Sulawesi | Sultra | 2029 | -4.11521 | 121.492 | 7900166 | 7.9002 | 87 | 188.5 | 0 | 6 | 313500 | 3 | 2 | 25.2 | 0.1267 | -0.0133 | 1.1812 | 1.1945 |</w:t>
      </w:r>
      <w:r>
        <w:t xml:space="preserve"> </w:t>
      </w:r>
      <w:r>
        <w:t xml:space="preserve">| Kolaka Regency | South East Sulawesi | Sultra | 2035 | -4.11521 | 121.492 | 8690183 | 8.6902 | 87 | 188.5 | 0 | 6 | 313500 | 3 | 2 | 25.2 | 0.1267 | -0.0057 | 0.2775 | 0.2832 |</w:t>
      </w:r>
      <w:r>
        <w:t xml:space="preserve"> </w:t>
      </w:r>
      <w:r>
        <w:t xml:space="preserve">| Bombana Regency | South East Sulawesi | Sultra | 2020 | -5.00767 | 121.935 | 97285 | 0.0973 | 30 | 41.5 | 0 | 2 | 21500 | 0 | 0 | 11.3 | 0.0039 | 0.0223 | 0.0444 | 0.0221 |</w:t>
      </w:r>
      <w:r>
        <w:t xml:space="preserve"> </w:t>
      </w:r>
      <w:r>
        <w:t xml:space="preserve">| Bombana Regency | South East Sulawesi | Sultra | 2024 | -5.00767 | 121.935 | 182410 | 0.1824 | 30 | 41.5 | 0 | 2 | 21500 | 0 | 0 | 11.3 | 0.0039 | 0.0735 | 0.1038 | 0.0303 |</w:t>
      </w:r>
      <w:r>
        <w:t xml:space="preserve"> </w:t>
      </w:r>
      <w:r>
        <w:t xml:space="preserve">| Bombana Regency | South East Sulawesi | Sultra | 2029 | -5.00767 | 121.935 | 243213 | 0.2432 | 30 | 41.5 | 0 | 2 | 21500 | 0 | 0 | 11.3 | 0.0039 | -0.0004 | 0.0364 | 0.0368 |</w:t>
      </w:r>
      <w:r>
        <w:t xml:space="preserve"> </w:t>
      </w:r>
      <w:r>
        <w:t xml:space="preserve">| Bombana Regency | South East Sulawesi | Sultra | 2035 | -5.00767 | 121.935 | 267534 | 0.2675 | 30 | 41.5 | 0 | 2 | 21500 | 0 | 0 | 11.3 | 0.0039 | -0.0002 | 0.0085 | 0.0087 |</w:t>
      </w:r>
      <w:r>
        <w:t xml:space="preserve"> </w:t>
      </w:r>
      <w:r>
        <w:t xml:space="preserve">| South Konawe Regency | South East Sulawesi | Sultra | 2020 | -4.4386 | 122.349 | 34521 | 0.0345 | 2 | 18.5 | 0 | 4 | 0 | 1 | 0 | 0 | 0.0014 | 0.0079 | 0.0158 | 0.0079 |</w:t>
      </w:r>
      <w:r>
        <w:t xml:space="preserve"> </w:t>
      </w:r>
      <w:r>
        <w:t xml:space="preserve">| South Konawe Regency | South East Sulawesi | Sultra | 2024 | -4.4386 | 122.349 | 64727 | 0.0647 | 2 | 18.5 | 0 | 4 | 0 | 1 | 0 | 0 | 0.0014 | 0.0261 | 0.0368 | 0.0107 |</w:t>
      </w:r>
      <w:r>
        <w:t xml:space="preserve"> </w:t>
      </w:r>
      <w:r>
        <w:t xml:space="preserve">| South Konawe Regency | South East Sulawesi | Sultra | 2029 | -4.4386 | 122.349 | 86303 | 0.0863 | 2 | 18.5 | 0 | 4 | 0 | 1 | 0 | 0 | 0.0014 | -0.0001 | 0.0129 | 0.013 |</w:t>
      </w:r>
      <w:r>
        <w:t xml:space="preserve"> </w:t>
      </w:r>
      <w:r>
        <w:t xml:space="preserve">| South Konawe Regency | South East Sulawesi | Sultra | 2035 | -4.4386 | 122.349 | 94933 | 0.0949 | 2 | 18.5 | 0 | 4 | 0 | 1 | 0 | 0 | 0.0014 | -0.0001 | 0.003 | 0.0031 |</w:t>
      </w:r>
      <w:r>
        <w:t xml:space="preserve"> </w:t>
      </w:r>
      <w:r>
        <w:t xml:space="preserve">| Kendari City | South East Sulawesi | Sultra | 2020 | -4.0062 | 122.637 | 5634 | 0.0056 | 0 | 3 | 0 | 1 | 0 | 0 | 0 | 0 | 0.0002 | 0.0013 | 0.0026 | 0.0013 |</w:t>
      </w:r>
      <w:r>
        <w:t xml:space="preserve"> </w:t>
      </w:r>
      <w:r>
        <w:t xml:space="preserve">| Kendari City | South East Sulawesi | Sultra | 2024 | -4.0062 | 122.637 | 10564 | 0.0106 | 0 | 3 | 0 | 1 | 0 | 0 | 0 | 0 | 0.0002 | 0.0043 | 0.006 | 0.0018 |</w:t>
      </w:r>
      <w:r>
        <w:t xml:space="preserve"> </w:t>
      </w:r>
      <w:r>
        <w:t xml:space="preserve">| Kendari City | South East Sulawesi | Sultra | 2029 | -4.0062 | 122.637 | 14086 | 0.0141 | 0 | 3 | 0 | 1 | 0 | 0 | 0 | 0 | 0.0002 | -0 | 0.0021 | 0.0021 |</w:t>
      </w:r>
      <w:r>
        <w:t xml:space="preserve"> </w:t>
      </w:r>
      <w:r>
        <w:t xml:space="preserve">| Kendari City | South East Sulawesi | Sultra | 2035 | -4.0062 | 122.637 | 15495 | 0.0155 | 0 | 3 | 0 | 1 | 0 | 0 | 0 | 0 | 0.0002 | -0 | 0.0005 | 0.0005 |</w:t>
      </w:r>
      <w:r>
        <w:t xml:space="preserve"> </w:t>
      </w:r>
      <w:r>
        <w:t xml:space="preserve">| North Konawe Regency | South East Sulawesi | Sultra | 2020 | -3.5232 | 122.165 | 2066 | 0.0021 | 0 | 1.1 | 0 | 1 | 30400 | 0 | 1 | 0.2 | 0.0001 | 0.0005 | 0.0009 | 0.0005 |</w:t>
      </w:r>
      <w:r>
        <w:t xml:space="preserve"> </w:t>
      </w:r>
      <w:r>
        <w:t xml:space="preserve">| North Konawe Regency | South East Sulawesi | Sultra | 2024 | -3.5232 | 122.165 | 3874 | 0.0039 | 0 | 1.1 | 0 | 1 | 30400 | 0 | 1 | 0.2 | 0.0001 | 0.0016 | 0.0022 | 0.0006 |</w:t>
      </w:r>
      <w:r>
        <w:t xml:space="preserve"> </w:t>
      </w:r>
      <w:r>
        <w:t xml:space="preserve">| North Konawe Regency | South East Sulawesi | Sultra | 2029 | -3.5232 | 122.165 | 5165 | 0.0052 | 0 | 1.1 | 0 | 1 | 30400 | 0 | 1 | 0.2 | 0.0001 | -0 | 0.0008 | 0.0008 |</w:t>
      </w:r>
      <w:r>
        <w:t xml:space="preserve"> </w:t>
      </w:r>
      <w:r>
        <w:t xml:space="preserve">| North Konawe Regency | South East Sulawesi | Sultra | 2035 | -3.5232 | 122.165 | 5682 | 0.0057 | 0 | 1.1 | 0 | 1 | 30400 | 0 | 1 | 0.2 | 0.0001 | -0 | 0.0002 | 0.0002 |</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2026-06-21T02:59:31Z</dcterms:created>
  <dcterms:modified xsi:type="dcterms:W3CDTF">2026-06-21T02:59:31Z</dcterms:modified>
</cp:coreProperties>
</file>

<file path=docProps/custom.xml><?xml version="1.0" encoding="utf-8"?>
<Properties xmlns="http://schemas.openxmlformats.org/officeDocument/2006/custom-properties" xmlns:vt="http://schemas.openxmlformats.org/officeDocument/2006/docPropsVTypes"/>
</file>