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C30EB2" w14:textId="44091512" w:rsidR="00FF4DEF" w:rsidRDefault="00BF35E1">
      <w:pPr>
        <w:keepNext/>
        <w:spacing w:after="280"/>
      </w:pPr>
      <w:r>
        <w:rPr>
          <w:b/>
          <w:sz w:val="40"/>
        </w:rPr>
        <w:t>Ours</w:t>
      </w:r>
      <w:r w:rsidR="00000000">
        <w:rPr>
          <w:b/>
          <w:sz w:val="40"/>
        </w:rPr>
        <w:t xml:space="preserve"> vs. Five Representative Works</w:t>
      </w:r>
    </w:p>
    <w:p w14:paraId="0C1785E1" w14:textId="0B64DA4F" w:rsidR="00FF4DEF" w:rsidRDefault="00000000">
      <w:pPr>
        <w:pStyle w:val="1"/>
      </w:pPr>
      <w:r>
        <w:rPr>
          <w:rFonts w:ascii="Calibri" w:eastAsia="PingFang SC" w:hAnsi="Calibri"/>
        </w:rPr>
        <w:t xml:space="preserve">1. </w:t>
      </w:r>
      <w:r w:rsidR="00BF35E1">
        <w:rPr>
          <w:rFonts w:ascii="Calibri" w:eastAsia="PingFang SC" w:hAnsi="Calibri"/>
        </w:rPr>
        <w:t>Ours</w:t>
      </w:r>
      <w:r>
        <w:rPr>
          <w:rFonts w:ascii="Calibri" w:eastAsia="PingFang SC" w:hAnsi="Calibri"/>
        </w:rPr>
        <w:t xml:space="preserve"> vs. ToolEmu</w:t>
      </w:r>
    </w:p>
    <w:p w14:paraId="7D77B997" w14:textId="22FCEEA5" w:rsidR="00FF4DEF" w:rsidRDefault="00000000">
      <w:r>
        <w:rPr>
          <w:b/>
        </w:rPr>
        <w:t xml:space="preserve">Direct difference: </w:t>
      </w:r>
      <w:r>
        <w:t xml:space="preserve">ToolEmu targets pre-deployment risk discovery. It uses language models to emulate tools, environments, and complete trajectories, then evaluates actions that have already occurred in the emulated sandbox. </w:t>
      </w:r>
      <w:r w:rsidR="00BF35E1">
        <w:t>Ours</w:t>
      </w:r>
      <w:r>
        <w:t xml:space="preserve"> targets the runtime execution boundary. It consumes the observed history and an unexecuted candidate action, and makes a risk and admission decision before any real side effect occurs.</w:t>
      </w:r>
    </w:p>
    <w:p w14:paraId="7517C02D" w14:textId="66969423" w:rsidR="00FF4DEF" w:rsidRDefault="00BF35E1">
      <w:r>
        <w:rPr>
          <w:b/>
        </w:rPr>
        <w:t>Ours</w:t>
      </w:r>
      <w:r w:rsidR="00000000">
        <w:rPr>
          <w:b/>
        </w:rPr>
        <w:t xml:space="preserve">'s advantage: </w:t>
      </w:r>
      <w:r>
        <w:t>Ours</w:t>
      </w:r>
      <w:r w:rsidR="00000000">
        <w:t xml:space="preserve"> does not generate a future rollout for every candidate action and does not require a runtime large-model evaluator. It is therefore better suited to low-latency, local, high-frequency use. A trusted tool registry, signed runtime context, permission receipts, verified policy results, and an opaque commit digest place the learned forecast behind explicit hard safety boundaries.</w:t>
      </w:r>
    </w:p>
    <w:p w14:paraId="2B3474F6" w14:textId="44A33B2C" w:rsidR="00FF4DEF" w:rsidRDefault="00000000">
      <w:r>
        <w:rPr>
          <w:b/>
        </w:rPr>
        <w:t xml:space="preserve">Innovation: </w:t>
      </w:r>
      <w:r w:rsidR="00BF35E1">
        <w:t>Ours</w:t>
      </w:r>
      <w:r>
        <w:t xml:space="preserve"> formulates candidate-action safety as first-event forecasting. It separately predicts whether risk will occur within the future window, the risk category, and the expected action step. Source, data, action, destination, permission, and policy entities are represented in a persistent heterogeneous graph, while evidence-edge weights directly affect graph message passing.</w:t>
      </w:r>
    </w:p>
    <w:p w14:paraId="1677C987" w14:textId="3D7BEA31" w:rsidR="00FF4DEF" w:rsidRDefault="00000000">
      <w:r>
        <w:rPr>
          <w:b/>
        </w:rPr>
        <w:t xml:space="preserve">Gap filled: </w:t>
      </w:r>
      <w:r>
        <w:t xml:space="preserve">ToolEmu established scalable pre-deployment stress testing but did not provide a lightweight online admission layer for real candidate actions. </w:t>
      </w:r>
      <w:r w:rsidR="00BF35E1">
        <w:t>Ours</w:t>
      </w:r>
      <w:r>
        <w:t xml:space="preserve"> fills the gap between offline risk discovery and online action forecasting without requiring a simulated future trajectory.</w:t>
      </w:r>
    </w:p>
    <w:p w14:paraId="0C7AF073" w14:textId="1159C70F" w:rsidR="00FF4DEF" w:rsidRDefault="00000000">
      <w:r>
        <w:rPr>
          <w:b/>
        </w:rPr>
        <w:t xml:space="preserve">Capability not replaced: </w:t>
      </w:r>
      <w:r w:rsidR="00BF35E1">
        <w:t>Ours</w:t>
      </w:r>
      <w:r>
        <w:t xml:space="preserve"> does not replace ToolEmu's scenario generation, environmental consequence simulation, or long-tail failure discovery. The stronger combination uses ToolEmu to generate stress scenarios and outcome labels, then evaluates </w:t>
      </w:r>
      <w:r w:rsidR="00BF35E1">
        <w:t>Ours</w:t>
      </w:r>
      <w:r>
        <w:t xml:space="preserve"> immediately before the dangerous action would execute.</w:t>
      </w:r>
    </w:p>
    <w:p w14:paraId="63672C4A" w14:textId="0A59A319" w:rsidR="00FF4DEF" w:rsidRDefault="00000000">
      <w:pPr>
        <w:pStyle w:val="1"/>
      </w:pPr>
      <w:r>
        <w:rPr>
          <w:rFonts w:ascii="Calibri" w:eastAsia="PingFang SC" w:hAnsi="Calibri"/>
        </w:rPr>
        <w:t xml:space="preserve">2. </w:t>
      </w:r>
      <w:r w:rsidR="00BF35E1">
        <w:rPr>
          <w:rFonts w:ascii="Calibri" w:eastAsia="PingFang SC" w:hAnsi="Calibri"/>
        </w:rPr>
        <w:t>Ours</w:t>
      </w:r>
      <w:r>
        <w:rPr>
          <w:rFonts w:ascii="Calibri" w:eastAsia="PingFang SC" w:hAnsi="Calibri"/>
        </w:rPr>
        <w:t xml:space="preserve"> vs. GuardAgent</w:t>
      </w:r>
    </w:p>
    <w:p w14:paraId="081AFBC9" w14:textId="4BBFA49F" w:rsidR="00FF4DEF" w:rsidRDefault="00000000">
      <w:r>
        <w:rPr>
          <w:b/>
        </w:rPr>
        <w:t xml:space="preserve">Direct difference: </w:t>
      </w:r>
      <w:r>
        <w:t xml:space="preserve">GuardAgent centers on explicit guard requests. A large model generates a task plan and Python guard code, and code execution determines whether the target action satisfies the rules. </w:t>
      </w:r>
      <w:r w:rsidR="00BF35E1">
        <w:t>Ours</w:t>
      </w:r>
      <w:r>
        <w:t xml:space="preserve"> generates no guard code. A fixed local neural model forecasts the candidate action's future risk distribution, while the trusted registry and signed context provide deterministic prerequisites.</w:t>
      </w:r>
    </w:p>
    <w:p w14:paraId="0E3A0CE3" w14:textId="230B3723" w:rsidR="00FF4DEF" w:rsidRDefault="00BF35E1">
      <w:r>
        <w:rPr>
          <w:b/>
        </w:rPr>
        <w:t>Ours</w:t>
      </w:r>
      <w:r w:rsidR="00000000">
        <w:rPr>
          <w:b/>
        </w:rPr>
        <w:t xml:space="preserve">'s advantage: </w:t>
      </w:r>
      <w:r>
        <w:t>Ours</w:t>
      </w:r>
      <w:r w:rsidR="00000000">
        <w:t xml:space="preserve"> avoids the code-injection, sandbox-escape, and model-stability risks created by generating and executing Python at runtime. When rules are </w:t>
      </w:r>
      <w:proofErr w:type="gramStart"/>
      <w:r w:rsidR="00000000">
        <w:t>incomplete</w:t>
      </w:r>
      <w:proofErr w:type="gramEnd"/>
      <w:r w:rsidR="00000000">
        <w:t xml:space="preserve"> but risk remains visible in provenance, data flow, destination, permissions, or trajectory evolution, </w:t>
      </w:r>
      <w:proofErr w:type="gramStart"/>
      <w:r>
        <w:t>Ours</w:t>
      </w:r>
      <w:proofErr w:type="gramEnd"/>
      <w:r w:rsidR="00000000">
        <w:t xml:space="preserve"> can output probability, category, urgency, and graph-edge attribution instead of only a binary satisfied-or-violated result.</w:t>
      </w:r>
    </w:p>
    <w:p w14:paraId="640D2326" w14:textId="740D077F" w:rsidR="00FF4DEF" w:rsidRDefault="00000000">
      <w:r>
        <w:rPr>
          <w:b/>
        </w:rPr>
        <w:lastRenderedPageBreak/>
        <w:t xml:space="preserve">Innovation: </w:t>
      </w:r>
      <w:r w:rsidR="00BF35E1">
        <w:t>Ours</w:t>
      </w:r>
      <w:r>
        <w:t xml:space="preserve"> separates hard constraints from probabilistic forecasting. Unknown tools, unregistered arguments, unverified actors, invalid permission receipts, missing approval, disallowed destinations, and failed policy evaluations are rejected before model admission. An allowed action receives only an opaque digest, which the executor must recompute and match before commit.</w:t>
      </w:r>
    </w:p>
    <w:p w14:paraId="670A5BF8" w14:textId="2C581055" w:rsidR="00FF4DEF" w:rsidRDefault="00000000">
      <w:r>
        <w:rPr>
          <w:b/>
        </w:rPr>
        <w:t xml:space="preserve">Gap filled: </w:t>
      </w:r>
      <w:r>
        <w:t xml:space="preserve">GuardAgent is strong when safety rules are known, explicit, and programmable, but it does not provide calibrated forecasting for incomplete rules or future multi-step risk. </w:t>
      </w:r>
      <w:r w:rsidR="00BF35E1">
        <w:t>Ours</w:t>
      </w:r>
      <w:r>
        <w:t xml:space="preserve"> fills the gap between deterministic compliance checks and residual-risk prediction.</w:t>
      </w:r>
    </w:p>
    <w:p w14:paraId="137719E7" w14:textId="530875D7" w:rsidR="00FF4DEF" w:rsidRDefault="00000000">
      <w:r>
        <w:rPr>
          <w:b/>
        </w:rPr>
        <w:t xml:space="preserve">Capability not replaced: </w:t>
      </w:r>
      <w:r w:rsidR="00BF35E1">
        <w:t>Ours</w:t>
      </w:r>
      <w:r>
        <w:t xml:space="preserve"> does not replace deterministic enforcement of complete explicit policies. Known invariants should remain in a formal permission engine or verifiable rule system; </w:t>
      </w:r>
      <w:r w:rsidR="00BF35E1">
        <w:t>Ours</w:t>
      </w:r>
      <w:r>
        <w:t xml:space="preserve"> is better positioned for probabilistic and evolving risk outside those complete rule boundaries.</w:t>
      </w:r>
    </w:p>
    <w:p w14:paraId="5B298078" w14:textId="660FA01A" w:rsidR="00FF4DEF" w:rsidRDefault="00000000">
      <w:pPr>
        <w:pStyle w:val="1"/>
      </w:pPr>
      <w:r>
        <w:rPr>
          <w:rFonts w:ascii="Calibri" w:eastAsia="PingFang SC" w:hAnsi="Calibri"/>
        </w:rPr>
        <w:t xml:space="preserve">3. </w:t>
      </w:r>
      <w:r w:rsidR="00BF35E1">
        <w:rPr>
          <w:rFonts w:ascii="Calibri" w:eastAsia="PingFang SC" w:hAnsi="Calibri"/>
        </w:rPr>
        <w:t>Ours</w:t>
      </w:r>
      <w:r>
        <w:rPr>
          <w:rFonts w:ascii="Calibri" w:eastAsia="PingFang SC" w:hAnsi="Calibri"/>
        </w:rPr>
        <w:t xml:space="preserve"> vs. AGrail</w:t>
      </w:r>
    </w:p>
    <w:p w14:paraId="6232555B" w14:textId="7A52E983" w:rsidR="00FF4DEF" w:rsidRDefault="00000000">
      <w:r>
        <w:rPr>
          <w:b/>
        </w:rPr>
        <w:t xml:space="preserve">Direct difference: </w:t>
      </w:r>
      <w:r>
        <w:t xml:space="preserve">AGrail uses Analyzer, Executor, tools, and case memory to generate, remove, merge, and retain safety checks across cases, emphasizing test-time adaptation. </w:t>
      </w:r>
      <w:r w:rsidR="00BF35E1">
        <w:t>Ours</w:t>
      </w:r>
      <w:r>
        <w:t xml:space="preserve"> does not modify a checklist memory at runtime and does not ask a large model to generate checks. It performs a stable forward forecast over the trajectory prefix, candidate action, and structured runtime state.</w:t>
      </w:r>
    </w:p>
    <w:p w14:paraId="40017520" w14:textId="7C0C7ED5" w:rsidR="00FF4DEF" w:rsidRDefault="00BF35E1">
      <w:r>
        <w:rPr>
          <w:b/>
        </w:rPr>
        <w:t>Ours</w:t>
      </w:r>
      <w:r w:rsidR="00000000">
        <w:rPr>
          <w:b/>
        </w:rPr>
        <w:t xml:space="preserve">'s advantage: </w:t>
      </w:r>
      <w:r>
        <w:t>Ours</w:t>
      </w:r>
      <w:r w:rsidR="00000000">
        <w:t xml:space="preserve"> has more stable runtime cost, output structure, and latency, and it is less exposed to checklist-memory poisoning, demonstration order, guardrail prompt injection, and repeated API calls. Tool capability, provenance trust, data sensitivity, destination, per-scope permissions, approval, and policy results are first-class inputs with explicit failure-closed handling for missing or forged fields.</w:t>
      </w:r>
    </w:p>
    <w:p w14:paraId="12F72A23" w14:textId="46E64A65" w:rsidR="00FF4DEF" w:rsidRDefault="00000000">
      <w:r>
        <w:rPr>
          <w:b/>
        </w:rPr>
        <w:t xml:space="preserve">Innovation: </w:t>
      </w:r>
      <w:r w:rsidR="00BF35E1">
        <w:t>Ours</w:t>
      </w:r>
      <w:r>
        <w:t xml:space="preserve"> encodes action steps and relative time together, then evaluates the actual action and approval, redaction, destination constraint, sandbox, and capability-restriction branches with shared deterministic parameters. An ineffective intervention is canonicalized to the actual branch, preventing artificial risk reduction when no state changed.</w:t>
      </w:r>
    </w:p>
    <w:p w14:paraId="2F184E91" w14:textId="012E78B2" w:rsidR="00FF4DEF" w:rsidRDefault="00000000">
      <w:r>
        <w:rPr>
          <w:b/>
        </w:rPr>
        <w:t xml:space="preserve">Gap filled: </w:t>
      </w:r>
      <w:r>
        <w:t xml:space="preserve">AGrail's lifelong property mainly concerns cross-case safety-check memory and does not model the time and category of the first risk event inside a trajectory. </w:t>
      </w:r>
      <w:r w:rsidR="00BF35E1">
        <w:t>Ours</w:t>
      </w:r>
      <w:r>
        <w:t xml:space="preserve"> fills the missing provenance-permission structure, first-event distribution, and calibrated admission boundary within adaptive guardrail systems.</w:t>
      </w:r>
    </w:p>
    <w:p w14:paraId="528ADFF3" w14:textId="12C8C4DE" w:rsidR="00FF4DEF" w:rsidRDefault="00000000">
      <w:r>
        <w:rPr>
          <w:b/>
        </w:rPr>
        <w:t xml:space="preserve">Capability not replaced: </w:t>
      </w:r>
      <w:r w:rsidR="00BF35E1">
        <w:t>Ours</w:t>
      </w:r>
      <w:r>
        <w:t xml:space="preserve"> does not provide AGrail's online case-memory updates or automatic tool selection. Policy shifts and new attack patterns may still require new labels, retraining, or registry updates, so the two systems remain complementary in their adaptation mechanisms.</w:t>
      </w:r>
    </w:p>
    <w:p w14:paraId="34BE4DDC" w14:textId="05B06DD9" w:rsidR="00FF4DEF" w:rsidRDefault="00000000">
      <w:pPr>
        <w:pStyle w:val="1"/>
      </w:pPr>
      <w:r>
        <w:rPr>
          <w:rFonts w:ascii="Calibri" w:eastAsia="PingFang SC" w:hAnsi="Calibri"/>
        </w:rPr>
        <w:lastRenderedPageBreak/>
        <w:t xml:space="preserve">4. </w:t>
      </w:r>
      <w:r w:rsidR="00BF35E1">
        <w:rPr>
          <w:rFonts w:ascii="Calibri" w:eastAsia="PingFang SC" w:hAnsi="Calibri"/>
        </w:rPr>
        <w:t>Ours</w:t>
      </w:r>
      <w:r>
        <w:rPr>
          <w:rFonts w:ascii="Calibri" w:eastAsia="PingFang SC" w:hAnsi="Calibri"/>
        </w:rPr>
        <w:t xml:space="preserve"> vs. IPIGuard</w:t>
      </w:r>
    </w:p>
    <w:p w14:paraId="03BDCFEF" w14:textId="3B395C5B" w:rsidR="00FF4DEF" w:rsidRDefault="00000000">
      <w:r>
        <w:rPr>
          <w:b/>
        </w:rPr>
        <w:t xml:space="preserve">Direct difference: </w:t>
      </w:r>
      <w:r>
        <w:t xml:space="preserve">IPIGuard creates a Tool Dependency Graph before exposure to untrusted tool returns and constrains command tools, pending arguments, and indirect prompt injection during execution. Its core contribution is structural capability control. </w:t>
      </w:r>
      <w:r w:rsidR="00BF35E1">
        <w:t>Ours</w:t>
      </w:r>
      <w:r>
        <w:t xml:space="preserve"> does not constrain plan topology; it further evaluates candidate actions that are already permitted by the plan using provenance, sensitive data, destination, permissions, policy, and historical risk.</w:t>
      </w:r>
    </w:p>
    <w:p w14:paraId="23DEC397" w14:textId="527DA231" w:rsidR="00FF4DEF" w:rsidRDefault="00BF35E1">
      <w:r>
        <w:rPr>
          <w:b/>
        </w:rPr>
        <w:t>Ours</w:t>
      </w:r>
      <w:r w:rsidR="00000000">
        <w:rPr>
          <w:b/>
        </w:rPr>
        <w:t xml:space="preserve">'s advantage: </w:t>
      </w:r>
      <w:r>
        <w:t>Ours</w:t>
      </w:r>
      <w:r w:rsidR="00000000">
        <w:t xml:space="preserve"> covers cases where the tool is planned and </w:t>
      </w:r>
      <w:proofErr w:type="gramStart"/>
      <w:r w:rsidR="00000000">
        <w:t>legitimate</w:t>
      </w:r>
      <w:proofErr w:type="gramEnd"/>
      <w:r w:rsidR="00000000">
        <w:t xml:space="preserve"> but its parameters, data source, recipient, approval, permission combination, or propagation history remain dangerous. It distinguishes privacy leakage, computer security, financial loss, data loss, and unauthorized external action, and estimates the first risk step.</w:t>
      </w:r>
    </w:p>
    <w:p w14:paraId="34024170" w14:textId="5724400A" w:rsidR="00FF4DEF" w:rsidRDefault="00000000">
      <w:r>
        <w:rPr>
          <w:b/>
        </w:rPr>
        <w:t xml:space="preserve">Innovation: </w:t>
      </w:r>
      <w:r w:rsidR="00BF35E1">
        <w:t>Ours</w:t>
      </w:r>
      <w:r>
        <w:t>'s graph is not a tool-call dependency graph. It is a persistent execution graph containing actors, sources, data, actions, destinations, permissions, policies, and interventions. Permission and policy state remain time-specific on action edges, while unknown tools and unregistered arguments fail closed before model inference.</w:t>
      </w:r>
    </w:p>
    <w:p w14:paraId="55952766" w14:textId="7EBD4E93" w:rsidR="00FF4DEF" w:rsidRDefault="00000000">
      <w:r>
        <w:rPr>
          <w:b/>
        </w:rPr>
        <w:t xml:space="preserve">Gap filled: </w:t>
      </w:r>
      <w:r>
        <w:t xml:space="preserve">IPIGuard fills the hard-execution gap for indirect prompt injection, but has limited coverage of sensitive flows inside the permitted set, abnormal destinations, authorized-but-harmful actions, and multi-category consequence forecasting. </w:t>
      </w:r>
      <w:r w:rsidR="00BF35E1">
        <w:t>Ours</w:t>
      </w:r>
      <w:r>
        <w:t xml:space="preserve"> fills the residual-risk forecasting gap inside a hard capability boundary.</w:t>
      </w:r>
    </w:p>
    <w:p w14:paraId="5615595B" w14:textId="1F084A39" w:rsidR="00FF4DEF" w:rsidRDefault="00000000">
      <w:r>
        <w:rPr>
          <w:b/>
        </w:rPr>
        <w:t xml:space="preserve">Capability not replaced: </w:t>
      </w:r>
      <w:r w:rsidR="00BF35E1">
        <w:t>Ours</w:t>
      </w:r>
      <w:r>
        <w:t xml:space="preserve">'s probabilistic forecast cannot replace IPIGuard's hard capability boundary. The strongest architecture first limits the allowed call set with IPIGuard or a trusted executor, then applies </w:t>
      </w:r>
      <w:r w:rsidR="00BF35E1">
        <w:t>Ours</w:t>
      </w:r>
      <w:r>
        <w:t xml:space="preserve"> to actions within that set; model errors must still fail closed.</w:t>
      </w:r>
    </w:p>
    <w:p w14:paraId="0C11E814" w14:textId="4AD5E03D" w:rsidR="00FF4DEF" w:rsidRDefault="00000000">
      <w:pPr>
        <w:pStyle w:val="1"/>
      </w:pPr>
      <w:r>
        <w:rPr>
          <w:rFonts w:ascii="Calibri" w:eastAsia="PingFang SC" w:hAnsi="Calibri"/>
        </w:rPr>
        <w:t xml:space="preserve">5. </w:t>
      </w:r>
      <w:r w:rsidR="00BF35E1">
        <w:rPr>
          <w:rFonts w:ascii="Calibri" w:eastAsia="PingFang SC" w:hAnsi="Calibri"/>
        </w:rPr>
        <w:t>Ours</w:t>
      </w:r>
      <w:r>
        <w:rPr>
          <w:rFonts w:ascii="Calibri" w:eastAsia="PingFang SC" w:hAnsi="Calibri"/>
        </w:rPr>
        <w:t xml:space="preserve"> vs. GUARDIAN</w:t>
      </w:r>
    </w:p>
    <w:p w14:paraId="26010FF3" w14:textId="7D671F0A" w:rsidR="00FF4DEF" w:rsidRDefault="00000000">
      <w:r>
        <w:rPr>
          <w:b/>
        </w:rPr>
        <w:t xml:space="preserve">Direct difference: </w:t>
      </w:r>
      <w:r>
        <w:t xml:space="preserve">GUARDIAN targets multi-agent collaboration. It models agent responses and communication links across rounds as a temporal attributed graph, detects anomalous agents and edges through unsupervised reconstruction error, and removes them before the next round. </w:t>
      </w:r>
      <w:r w:rsidR="00BF35E1">
        <w:t>Ours</w:t>
      </w:r>
      <w:r>
        <w:t xml:space="preserve"> targets the external execution boundary of a single tool-using agent and models history plus the current unexecuted action as a provenance-permission execution graph.</w:t>
      </w:r>
    </w:p>
    <w:p w14:paraId="11CD9819" w14:textId="1160F536" w:rsidR="00FF4DEF" w:rsidRDefault="00BF35E1">
      <w:r>
        <w:rPr>
          <w:b/>
        </w:rPr>
        <w:t>Ours</w:t>
      </w:r>
      <w:r w:rsidR="00000000">
        <w:rPr>
          <w:b/>
        </w:rPr>
        <w:t xml:space="preserve">'s advantage: </w:t>
      </w:r>
      <w:r>
        <w:t>Ours</w:t>
      </w:r>
      <w:r w:rsidR="00000000">
        <w:t>'s prediction object directly corresponds to a tool action that can create a real side effect, so its output can support admission, hold, or block decisions. It also reports risk category, expected first-event step, actual-branch risk, and graph-edge attribution, while requiring signed actor, permission, policy, and runtime context and integrity-checked checkpoints.</w:t>
      </w:r>
    </w:p>
    <w:p w14:paraId="1750C11D" w14:textId="0E70B2FF" w:rsidR="00FF4DEF" w:rsidRDefault="00000000">
      <w:r>
        <w:rPr>
          <w:b/>
        </w:rPr>
        <w:t xml:space="preserve">Innovation: </w:t>
      </w:r>
      <w:r w:rsidR="00BF35E1">
        <w:t>Ours</w:t>
      </w:r>
      <w:r>
        <w:t xml:space="preserve"> inserts a virtual candidate-action node into the graph and connects historical provenance, data, destinations, and permissions to an action that has not executed. A factorized first-event head models event occurrence separately from event cause. Edge attribution participates in </w:t>
      </w:r>
      <w:r>
        <w:lastRenderedPageBreak/>
        <w:t>prediction but is explicitly described as graph-contribution attribution rather than a complete causal path.</w:t>
      </w:r>
    </w:p>
    <w:p w14:paraId="100D3AB2" w14:textId="6279F67B" w:rsidR="00FF4DEF" w:rsidRDefault="00000000">
      <w:r>
        <w:rPr>
          <w:b/>
        </w:rPr>
        <w:t xml:space="preserve">Gap filled: </w:t>
      </w:r>
      <w:r>
        <w:t xml:space="preserve">GUARDIAN addresses error propagation at the collaboration layer but does not directly resolve how compromised information becomes an external tool side effect. </w:t>
      </w:r>
      <w:r w:rsidR="00BF35E1">
        <w:t>Ours</w:t>
      </w:r>
      <w:r>
        <w:t xml:space="preserve"> fills the safety-prediction gap between internal reasoning or communication outcomes and environmental execution.</w:t>
      </w:r>
    </w:p>
    <w:p w14:paraId="66918B3D" w14:textId="4632A5D7" w:rsidR="00FF4DEF" w:rsidRDefault="00000000">
      <w:r>
        <w:rPr>
          <w:b/>
        </w:rPr>
        <w:t xml:space="preserve">Capability not replaced: </w:t>
      </w:r>
      <w:r w:rsidR="00BF35E1">
        <w:t>Ours</w:t>
      </w:r>
      <w:r>
        <w:t xml:space="preserve"> does not detect multi-agent collusion, hallucination amplification, or anomalous communication, and therefore cannot replace GUARDIAN. A layered deployment uses GUARDIAN for collaboration and information flow, and </w:t>
      </w:r>
      <w:r w:rsidR="00BF35E1">
        <w:t>Ours</w:t>
      </w:r>
      <w:r>
        <w:t xml:space="preserve"> for the final external action.</w:t>
      </w:r>
    </w:p>
    <w:p w14:paraId="7897956C" w14:textId="48010BB5" w:rsidR="00FF4DEF" w:rsidRDefault="00000000">
      <w:pPr>
        <w:pStyle w:val="1"/>
      </w:pPr>
      <w:r>
        <w:rPr>
          <w:rFonts w:ascii="Calibri" w:eastAsia="PingFang SC" w:hAnsi="Calibri"/>
        </w:rPr>
        <w:t xml:space="preserve">6. Overall Advantages of </w:t>
      </w:r>
      <w:r w:rsidR="00BF35E1">
        <w:rPr>
          <w:rFonts w:ascii="Calibri" w:eastAsia="PingFang SC" w:hAnsi="Calibri"/>
        </w:rPr>
        <w:t>Ours</w:t>
      </w:r>
    </w:p>
    <w:p w14:paraId="6A4C5082" w14:textId="6936C068" w:rsidR="00FF4DEF" w:rsidRDefault="00000000">
      <w:r>
        <w:rPr>
          <w:b/>
        </w:rPr>
        <w:t xml:space="preserve">Execution point: </w:t>
      </w:r>
      <w:r w:rsidR="00BF35E1">
        <w:t>Ours</w:t>
      </w:r>
      <w:r>
        <w:t xml:space="preserve"> sits directly between a proposed tool action and its real side effect, while retaining both hard prerequisites and a learned forecasting layer.</w:t>
      </w:r>
    </w:p>
    <w:p w14:paraId="0CB98A3C" w14:textId="77777777" w:rsidR="00FF4DEF" w:rsidRDefault="00000000">
      <w:r>
        <w:rPr>
          <w:b/>
        </w:rPr>
        <w:t xml:space="preserve">Runtime model: </w:t>
      </w:r>
      <w:r>
        <w:t>It uses a fixed local model, requires no runtime large-model call, and generates or executes no guard code, making latency and resource cost more stable.</w:t>
      </w:r>
    </w:p>
    <w:p w14:paraId="44F8CEB4" w14:textId="77777777" w:rsidR="00FF4DEF" w:rsidRDefault="00000000">
      <w:r>
        <w:rPr>
          <w:b/>
        </w:rPr>
        <w:t xml:space="preserve">Structural representation: </w:t>
      </w:r>
      <w:r>
        <w:t>Provenance, data, destination, per-scope permissions, approval, policy, interventions, and the candidate action are represented together, enabling analysis of dangerous data flows and argument combinations within a legitimate plan.</w:t>
      </w:r>
    </w:p>
    <w:p w14:paraId="181E9DFE" w14:textId="77777777" w:rsidR="00FF4DEF" w:rsidRDefault="00000000">
      <w:r>
        <w:rPr>
          <w:b/>
        </w:rPr>
        <w:t xml:space="preserve">Prediction outputs: </w:t>
      </w:r>
      <w:r>
        <w:t>The model reports event probability, risk category, expected first-event step, graph-edge evidence, and actual-branch risk instead of only a binary safety label.</w:t>
      </w:r>
    </w:p>
    <w:p w14:paraId="699FE181" w14:textId="77777777" w:rsidR="00FF4DEF" w:rsidRDefault="00000000">
      <w:r>
        <w:rPr>
          <w:b/>
        </w:rPr>
        <w:t xml:space="preserve">Security engineering: </w:t>
      </w:r>
      <w:r>
        <w:t>A trusted registry, strict Boolean and length validation, unknown-argument rejection, signed context, single-use nonces, independent model identities, calibration lineage, checkpoint integrity checks, and commit digests reduce the monitor's own attack surface.</w:t>
      </w:r>
    </w:p>
    <w:p w14:paraId="359AEF99" w14:textId="79BD3E3C" w:rsidR="00FF4DEF" w:rsidRDefault="00000000">
      <w:pPr>
        <w:pStyle w:val="1"/>
      </w:pPr>
      <w:r>
        <w:rPr>
          <w:rFonts w:ascii="Calibri" w:eastAsia="PingFang SC" w:hAnsi="Calibri"/>
        </w:rPr>
        <w:t xml:space="preserve">7. Core Innovations in </w:t>
      </w:r>
      <w:r w:rsidR="00BF35E1">
        <w:rPr>
          <w:rFonts w:ascii="Calibri" w:eastAsia="PingFang SC" w:hAnsi="Calibri"/>
        </w:rPr>
        <w:t>Ours</w:t>
      </w:r>
    </w:p>
    <w:p w14:paraId="13E6A357" w14:textId="77777777" w:rsidR="00FF4DEF" w:rsidRDefault="00000000">
      <w:r>
        <w:rPr>
          <w:b/>
        </w:rPr>
        <w:t xml:space="preserve">First-event risk task: </w:t>
      </w:r>
      <w:r>
        <w:t>Action safety is extended from current violation detection to forecasting when the first future violation will occur and which category it belongs to, while correctly representing safe prefixes as censored observations.</w:t>
      </w:r>
    </w:p>
    <w:p w14:paraId="12150385" w14:textId="77777777" w:rsidR="00FF4DEF" w:rsidRDefault="00000000">
      <w:r>
        <w:rPr>
          <w:b/>
        </w:rPr>
        <w:t xml:space="preserve">Persistent candidate-action graph: </w:t>
      </w:r>
      <w:r>
        <w:t>An unexecuted action becomes a virtual node connected to historical source, data, permission, policy, and destination entities. Entities persist across steps, while dynamic state remains on time-specific edges.</w:t>
      </w:r>
    </w:p>
    <w:p w14:paraId="4B34C0A9" w14:textId="77777777" w:rsidR="00FF4DEF" w:rsidRDefault="00000000">
      <w:r>
        <w:rPr>
          <w:b/>
        </w:rPr>
        <w:t xml:space="preserve">Factorized risk head: </w:t>
      </w:r>
      <w:r>
        <w:t>Event occurrence and event cause are modeled separately with a low base-risk initialization, avoiding the near-certain initial total risk produced when additional risk categories are added to one joint softmax.</w:t>
      </w:r>
    </w:p>
    <w:p w14:paraId="41CFE7D7" w14:textId="77777777" w:rsidR="00FF4DEF" w:rsidRDefault="00000000">
      <w:r>
        <w:rPr>
          <w:b/>
        </w:rPr>
        <w:lastRenderedPageBreak/>
        <w:t xml:space="preserve">Intervention-conditioned branches: </w:t>
      </w:r>
      <w:r>
        <w:t>Approval, redaction, destination constraint, sandbox, and capability restriction share parameters while recording changed fields, policy re-evaluation state, and commit digests. Ineffective interventions remain identical to the actual branch.</w:t>
      </w:r>
    </w:p>
    <w:p w14:paraId="5FFDF1C7" w14:textId="77777777" w:rsidR="00FF4DEF" w:rsidRDefault="00000000">
      <w:r>
        <w:rPr>
          <w:b/>
        </w:rPr>
        <w:t xml:space="preserve">Evidence-in-the-loop prediction: </w:t>
      </w:r>
      <w:r>
        <w:t>Evidence-edge weights directly control graph message passing and are trained with sufficiency, necessity, and sparsity objectives, rather than placing all explanation after prediction.</w:t>
      </w:r>
    </w:p>
    <w:p w14:paraId="2C3154DB" w14:textId="77777777" w:rsidR="00FF4DEF" w:rsidRDefault="00000000">
      <w:r>
        <w:rPr>
          <w:b/>
        </w:rPr>
        <w:t xml:space="preserve">Conservative calibrated admission: </w:t>
      </w:r>
      <w:r>
        <w:t>Calibration uses independent trajectory groups rather than correlated prefixes, applies a conservative correction to unsafe trajectories, and binds the model ensemble, score protocol, and dispersion multiplier. Uncalibrated or non-independent ensembles cannot authorize execution.</w:t>
      </w:r>
    </w:p>
    <w:p w14:paraId="7B912F2B" w14:textId="42145D07" w:rsidR="00FF4DEF" w:rsidRDefault="00000000">
      <w:pPr>
        <w:pStyle w:val="1"/>
      </w:pPr>
      <w:r>
        <w:rPr>
          <w:rFonts w:ascii="Calibri" w:eastAsia="PingFang SC" w:hAnsi="Calibri"/>
        </w:rPr>
        <w:t xml:space="preserve">8. Gaps Filled by </w:t>
      </w:r>
      <w:r w:rsidR="00BF35E1">
        <w:rPr>
          <w:rFonts w:ascii="Calibri" w:eastAsia="PingFang SC" w:hAnsi="Calibri"/>
        </w:rPr>
        <w:t>Ours</w:t>
      </w:r>
    </w:p>
    <w:p w14:paraId="0BCB8E1E" w14:textId="4A1DB4DD" w:rsidR="00FF4DEF" w:rsidRDefault="00000000">
      <w:r>
        <w:rPr>
          <w:b/>
        </w:rPr>
        <w:t xml:space="preserve">Gap between offline evaluation and online execution: </w:t>
      </w:r>
      <w:r w:rsidR="00BF35E1">
        <w:t>Ours</w:t>
      </w:r>
      <w:r>
        <w:t xml:space="preserve"> adds an online forecasting layer that does not require future rollout between ToolEmu's pre-deployment risk discovery and IPIGuard's hard execution constraint.</w:t>
      </w:r>
    </w:p>
    <w:p w14:paraId="1B17D45E" w14:textId="3921456B" w:rsidR="00FF4DEF" w:rsidRDefault="00000000">
      <w:r>
        <w:rPr>
          <w:b/>
        </w:rPr>
        <w:t xml:space="preserve">Gap between rule compliance and unknown risk: </w:t>
      </w:r>
      <w:r>
        <w:t xml:space="preserve">Beyond GuardAgent's explicit-rule execution and </w:t>
      </w:r>
      <w:proofErr w:type="spellStart"/>
      <w:r>
        <w:t>AGrail's</w:t>
      </w:r>
      <w:proofErr w:type="spellEnd"/>
      <w:r>
        <w:t xml:space="preserve"> adaptive checks, </w:t>
      </w:r>
      <w:proofErr w:type="gramStart"/>
      <w:r w:rsidR="00BF35E1">
        <w:t>Ours</w:t>
      </w:r>
      <w:proofErr w:type="gramEnd"/>
      <w:r>
        <w:t xml:space="preserve"> addresses risks not fully covered by rules but identifiable from trajectory, provenance, permission, and destination structure.</w:t>
      </w:r>
    </w:p>
    <w:p w14:paraId="7C3AC7DA" w14:textId="22E96E4F" w:rsidR="00FF4DEF" w:rsidRDefault="00000000">
      <w:r>
        <w:rPr>
          <w:b/>
        </w:rPr>
        <w:t xml:space="preserve">Gap between collaboration safety and external side effects: </w:t>
      </w:r>
      <w:r w:rsidR="00BF35E1">
        <w:t>Ours</w:t>
      </w:r>
      <w:r>
        <w:t xml:space="preserve"> consumes the output of collaboration-layer defenses such as GUARDIAN and makes a separate safety decision before the final tool action reaches the environment.</w:t>
      </w:r>
    </w:p>
    <w:p w14:paraId="7611EEC1" w14:textId="77777777" w:rsidR="00FF4DEF" w:rsidRDefault="00000000">
      <w:r>
        <w:rPr>
          <w:b/>
        </w:rPr>
        <w:t xml:space="preserve">Gap between authorization and outcome safety: </w:t>
      </w:r>
      <w:r>
        <w:t>The design explicitly separates obtaining permission from being genuinely safe and retains authorized actions that can still cause privacy, integrity, financial, or system harm.</w:t>
      </w:r>
    </w:p>
    <w:p w14:paraId="290145FF" w14:textId="77777777" w:rsidR="00FF4DEF" w:rsidRDefault="00000000">
      <w:r>
        <w:rPr>
          <w:b/>
        </w:rPr>
        <w:t xml:space="preserve">Gap between probabilistic prediction and trusted execution: </w:t>
      </w:r>
      <w:r>
        <w:t>Calibrated risk, hard failure-closed checks, signed context, model integrity, and an action commit digest are connected into a minimal trusted chain from forecasting to execution submission.</w:t>
      </w:r>
    </w:p>
    <w:p w14:paraId="30E7000F" w14:textId="77777777" w:rsidR="00FF4DEF" w:rsidRDefault="00000000">
      <w:pPr>
        <w:pStyle w:val="1"/>
      </w:pPr>
      <w:r>
        <w:rPr>
          <w:rFonts w:ascii="Calibri" w:eastAsia="PingFang SC" w:hAnsi="Calibri"/>
        </w:rPr>
        <w:t>9. Current Defensible Claims</w:t>
      </w:r>
    </w:p>
    <w:p w14:paraId="28FA10AC" w14:textId="77777777" w:rsidR="00FF4DEF" w:rsidRDefault="00000000">
      <w:r>
        <w:rPr>
          <w:b/>
        </w:rPr>
        <w:t xml:space="preserve">Established: </w:t>
      </w:r>
      <w:r>
        <w:t>The code implements a trusted registry, signed context, persistent graph, multi-intervention tensors, a factorized first-event model, stable losses, trajectory-group calibration, independent-model verification, a conservative runtime, and safe checkpoints, and it passes the complete engineering test suite.</w:t>
      </w:r>
    </w:p>
    <w:p w14:paraId="1C5E6C6E" w14:textId="77777777" w:rsidR="00FF4DEF" w:rsidRDefault="00000000">
      <w:r>
        <w:rPr>
          <w:b/>
        </w:rPr>
        <w:lastRenderedPageBreak/>
        <w:t xml:space="preserve">Not established: </w:t>
      </w:r>
      <w:r>
        <w:t>There is no trained real-data checkpoint and no matched-task benchmark against the five works. Performance, generalization, and safety effectiveness therefore cannot yet be claimed as superior to those papers.</w:t>
      </w:r>
    </w:p>
    <w:p w14:paraId="6D72788C" w14:textId="77777777" w:rsidR="00FF4DEF" w:rsidRDefault="00000000">
      <w:r>
        <w:rPr>
          <w:b/>
        </w:rPr>
        <w:t xml:space="preserve">Intervention boundary: </w:t>
      </w:r>
      <w:r>
        <w:t>The runtime currently certifies only the actual-action branch. Approval, redaction, destination constraint, and sandbox branches remain research outputs until each has real paired outcomes, simultaneous calibration, postcondition validation, and a newly signed reassessment.</w:t>
      </w:r>
    </w:p>
    <w:p w14:paraId="5B8782BA" w14:textId="77777777" w:rsidR="00FF4DEF" w:rsidRDefault="00000000">
      <w:r>
        <w:rPr>
          <w:b/>
        </w:rPr>
        <w:t xml:space="preserve">Explanation boundary: </w:t>
      </w:r>
      <w:r>
        <w:t>Current evidence scores explain graph contribution to risk, not a complete causal path. Full explanation still requires temporal-event attribution, connected-path constraints, and deletion or substitution experiments.</w:t>
      </w:r>
    </w:p>
    <w:sectPr w:rsidR="00FF4DEF"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PingFang SC">
    <w:altName w:val="Cambria"/>
    <w:panose1 w:val="020B0604020202020204"/>
    <w:charset w:val="00"/>
    <w:family w:val="roman"/>
    <w:notTrueType/>
    <w:pitch w:val="default"/>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62343243">
    <w:abstractNumId w:val="8"/>
  </w:num>
  <w:num w:numId="2" w16cid:durableId="779688477">
    <w:abstractNumId w:val="6"/>
  </w:num>
  <w:num w:numId="3" w16cid:durableId="143548519">
    <w:abstractNumId w:val="5"/>
  </w:num>
  <w:num w:numId="4" w16cid:durableId="513886858">
    <w:abstractNumId w:val="4"/>
  </w:num>
  <w:num w:numId="5" w16cid:durableId="1435201094">
    <w:abstractNumId w:val="7"/>
  </w:num>
  <w:num w:numId="6" w16cid:durableId="596013424">
    <w:abstractNumId w:val="3"/>
  </w:num>
  <w:num w:numId="7" w16cid:durableId="733046501">
    <w:abstractNumId w:val="2"/>
  </w:num>
  <w:num w:numId="8" w16cid:durableId="1357851422">
    <w:abstractNumId w:val="1"/>
  </w:num>
  <w:num w:numId="9" w16cid:durableId="21312425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4101"/>
    <w:rsid w:val="00AA1D8D"/>
    <w:rsid w:val="00B47730"/>
    <w:rsid w:val="00BF35E1"/>
    <w:rsid w:val="00CB0664"/>
    <w:rsid w:val="00FC693F"/>
    <w:rsid w:val="00FF4D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E6FEF"/>
  <w14:defaultImageDpi w14:val="300"/>
  <w15:docId w15:val="{004572AD-91B1-4745-9C49-9385427D2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eastAsia="PingFang SC" w:hAnsi="Calibri"/>
      <w:color w:val="000000"/>
    </w:rPr>
  </w:style>
  <w:style w:type="paragraph" w:styleId="1">
    <w:name w:val="heading 1"/>
    <w:basedOn w:val="a1"/>
    <w:next w:val="a1"/>
    <w:link w:val="10"/>
    <w:uiPriority w:val="9"/>
    <w:qFormat/>
    <w:rsid w:val="00FC693F"/>
    <w:pPr>
      <w:keepNext/>
      <w:keepLines/>
      <w:spacing w:before="360" w:after="200" w:line="240" w:lineRule="auto"/>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80" w:after="140" w:line="240" w:lineRule="auto"/>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100" w:line="240" w:lineRule="auto"/>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2092</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New vs. Five Representative Works</dc:title>
  <dc:subject>Advantages, innovations, and research gaps</dc:subject>
  <dc:creator/>
  <cp:keywords>Agent New, ToolEmu, GuardAgent, AGrail, IPIGuard, GUARDIAN</cp:keywords>
  <dc:description>generated by python-docx</dc:description>
  <cp:lastModifiedBy>Haojun Xu (hx3y26)</cp:lastModifiedBy>
  <cp:revision>2</cp:revision>
  <dcterms:created xsi:type="dcterms:W3CDTF">2013-12-23T23:15:00Z</dcterms:created>
  <dcterms:modified xsi:type="dcterms:W3CDTF">2026-08-25T13:57:00Z</dcterms:modified>
  <cp:category/>
</cp:coreProperties>
</file>