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8"/>
        </w:rPr>
        <w:t>云边端协同智慧交通视觉感知系统</w:t>
      </w:r>
    </w:p>
    <w:p>
      <w:pPr>
        <w:jc w:val="center"/>
      </w:pPr>
      <w:r>
        <w:rPr>
          <w:color w:val="475569"/>
          <w:sz w:val="24"/>
        </w:rPr>
        <w:t>需求分析报告 V1.0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9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8EEF5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489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8EEF5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项目场景</w:t>
            </w:r>
          </w:p>
        </w:tc>
        <w:tc>
          <w:tcPr>
            <w:tcW w:type="dxa" w:w="6803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校园 704 智慧交通沙盘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系统形态</w:t>
            </w:r>
          </w:p>
        </w:tc>
        <w:tc>
          <w:tcPr>
            <w:tcW w:type="dxa" w:w="6803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手机/ESP32-CAM/本地视频采集 + 笔记本边缘服务 + 算法推理 + Web 大屏展示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当前版本重点</w:t>
            </w:r>
          </w:p>
        </w:tc>
        <w:tc>
          <w:tcPr>
            <w:tcW w:type="dxa" w:w="6803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视频接入、浅色沙盘大屏、YOLOv11 检测、ByteTrack 跟踪预留、S2M 障碍物增强方案</w:t>
            </w:r>
          </w:p>
        </w:tc>
      </w:tr>
    </w:tbl>
    <w:p/>
    <w:p>
      <w:pPr>
        <w:pStyle w:val="Heading1"/>
      </w:pPr>
      <w:r>
        <w:t>1. 项目目标</w:t>
      </w:r>
    </w:p>
    <w:p>
      <w:r>
        <w:t>本系统面向智慧交通沙盘演示场景，构建从视频采集、边缘接入、车辆检测、交通统计、异常告警到前端展示的闭环。系统优先保证验收演示稳定，同时为后续算法训练、多摄像头融合和数据持久化扩展保留接口。</w:t>
      </w:r>
    </w:p>
    <w:p>
      <w:pPr>
        <w:pStyle w:val="Heading1"/>
      </w:pPr>
      <w:r>
        <w:t>2. 用户角色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9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8EEF5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角色</w:t>
            </w:r>
          </w:p>
        </w:tc>
        <w:tc>
          <w:tcPr>
            <w:tcW w:type="dxa" w:w="489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8EEF5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职责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交通监控员</w:t>
            </w:r>
          </w:p>
        </w:tc>
        <w:tc>
          <w:tcPr>
            <w:tcW w:type="dxa" w:w="6803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接入视频流，查看实时监控画面、车辆检测、拥堵热力、异常告警和闸机通行决策。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系统管理员</w:t>
            </w:r>
          </w:p>
        </w:tc>
        <w:tc>
          <w:tcPr>
            <w:tcW w:type="dxa" w:w="6803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维护边缘设备、模型参数、白名单车辆、历史统计和事件数据。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算法开发人员</w:t>
            </w:r>
          </w:p>
        </w:tc>
        <w:tc>
          <w:tcPr>
            <w:tcW w:type="dxa" w:w="6803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接入 YOLOv11、ByteTrack、车牌识别和 S2M 障碍物增强等算法能力。</w:t>
            </w:r>
          </w:p>
        </w:tc>
      </w:tr>
    </w:tbl>
    <w:p/>
    <w:p>
      <w:pPr>
        <w:pStyle w:val="Heading1"/>
      </w:pPr>
      <w:r>
        <w:t>3. 功能需求概览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268"/>
        <w:gridCol w:w="1134"/>
        <w:gridCol w:w="4819"/>
      </w:tblGrid>
      <w:tr>
        <w:tc>
          <w:tcPr>
            <w:tcW w:type="dxa" w:w="244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8EEF5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编号</w:t>
            </w:r>
          </w:p>
        </w:tc>
        <w:tc>
          <w:tcPr>
            <w:tcW w:type="dxa" w:w="244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8EEF5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功能</w:t>
            </w:r>
          </w:p>
        </w:tc>
        <w:tc>
          <w:tcPr>
            <w:tcW w:type="dxa" w:w="244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8EEF5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优先级</w:t>
            </w:r>
          </w:p>
        </w:tc>
        <w:tc>
          <w:tcPr>
            <w:tcW w:type="dxa" w:w="244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8EEF5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85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F01</w:t>
            </w:r>
          </w:p>
        </w:tc>
        <w:tc>
          <w:tcPr>
            <w:tcW w:type="dxa" w:w="226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视频流接入</w:t>
            </w:r>
          </w:p>
        </w:tc>
        <w:tc>
          <w:tcPr>
            <w:tcW w:type="dxa" w:w="113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  <w:tc>
          <w:tcPr>
            <w:tcW w:type="dxa" w:w="4819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支持手机 IP Webcam、ESP32-CAM、本地视频段和电脑摄像头。</w:t>
            </w:r>
          </w:p>
        </w:tc>
      </w:tr>
      <w:tr>
        <w:tc>
          <w:tcPr>
            <w:tcW w:type="dxa" w:w="85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F02</w:t>
            </w:r>
          </w:p>
        </w:tc>
        <w:tc>
          <w:tcPr>
            <w:tcW w:type="dxa" w:w="226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车辆检测与跟踪</w:t>
            </w:r>
          </w:p>
        </w:tc>
        <w:tc>
          <w:tcPr>
            <w:tcW w:type="dxa" w:w="113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  <w:tc>
          <w:tcPr>
            <w:tcW w:type="dxa" w:w="4819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以 YOLOv11 识别车辆，ByteTrack 维护车辆 ID。</w:t>
            </w:r>
          </w:p>
        </w:tc>
      </w:tr>
      <w:tr>
        <w:tc>
          <w:tcPr>
            <w:tcW w:type="dxa" w:w="85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F09</w:t>
            </w:r>
          </w:p>
        </w:tc>
        <w:tc>
          <w:tcPr>
            <w:tcW w:type="dxa" w:w="226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障碍物识别</w:t>
            </w:r>
          </w:p>
        </w:tc>
        <w:tc>
          <w:tcPr>
            <w:tcW w:type="dxa" w:w="113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  <w:tc>
          <w:tcPr>
            <w:tcW w:type="dxa" w:w="4819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基础模式复用 YOLOv11 检测结果，S2M 作为未知异物分割增强模块。</w:t>
            </w:r>
          </w:p>
        </w:tc>
      </w:tr>
      <w:tr>
        <w:tc>
          <w:tcPr>
            <w:tcW w:type="dxa" w:w="85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F10</w:t>
            </w:r>
          </w:p>
        </w:tc>
        <w:tc>
          <w:tcPr>
            <w:tcW w:type="dxa" w:w="226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车流密度热力图</w:t>
            </w:r>
          </w:p>
        </w:tc>
        <w:tc>
          <w:tcPr>
            <w:tcW w:type="dxa" w:w="113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  <w:tc>
          <w:tcPr>
            <w:tcW w:type="dxa" w:w="4819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基于车辆位置生成拥堵热力与热点区域。</w:t>
            </w:r>
          </w:p>
        </w:tc>
      </w:tr>
      <w:tr>
        <w:tc>
          <w:tcPr>
            <w:tcW w:type="dxa" w:w="85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F11</w:t>
            </w:r>
          </w:p>
        </w:tc>
        <w:tc>
          <w:tcPr>
            <w:tcW w:type="dxa" w:w="226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Web 实时监控页面</w:t>
            </w:r>
          </w:p>
        </w:tc>
        <w:tc>
          <w:tcPr>
            <w:tcW w:type="dxa" w:w="113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  <w:tc>
          <w:tcPr>
            <w:tcW w:type="dxa" w:w="4819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采用浅色沙盘大屏样式，中心展示 MJPEG 实时画面，左右展示状态、控制和告警。</w:t>
            </w:r>
          </w:p>
        </w:tc>
      </w:tr>
      <w:tr>
        <w:tc>
          <w:tcPr>
            <w:tcW w:type="dxa" w:w="85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F14</w:t>
            </w:r>
          </w:p>
        </w:tc>
        <w:tc>
          <w:tcPr>
            <w:tcW w:type="dxa" w:w="226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历史统计查询</w:t>
            </w:r>
          </w:p>
        </w:tc>
        <w:tc>
          <w:tcPr>
            <w:tcW w:type="dxa" w:w="113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  <w:tc>
          <w:tcPr>
            <w:tcW w:type="dxa" w:w="4819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查询车流、拥堵、事件和通行记录。</w:t>
            </w:r>
          </w:p>
        </w:tc>
      </w:tr>
      <w:tr>
        <w:tc>
          <w:tcPr>
            <w:tcW w:type="dxa" w:w="85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F17</w:t>
            </w:r>
          </w:p>
        </w:tc>
        <w:tc>
          <w:tcPr>
            <w:tcW w:type="dxa" w:w="226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设备与模型管理</w:t>
            </w:r>
          </w:p>
        </w:tc>
        <w:tc>
          <w:tcPr>
            <w:tcW w:type="dxa" w:w="113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  <w:tc>
          <w:tcPr>
            <w:tcW w:type="dxa" w:w="4819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管理视频源、模型状态、检测参数和白名单数据。</w:t>
            </w:r>
          </w:p>
        </w:tc>
      </w:tr>
    </w:tbl>
    <w:p/>
    <w:p>
      <w:pPr>
        <w:pStyle w:val="Heading1"/>
      </w:pPr>
      <w:r>
        <w:t>4. 用例图与核心用例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29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29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1 用例图：云边端协同智慧交通视觉感知系统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4195"/>
      </w:tblGrid>
      <w:tr>
        <w:tc>
          <w:tcPr>
            <w:tcW w:type="dxa" w:w="326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8EEF5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用例</w:t>
            </w:r>
          </w:p>
        </w:tc>
        <w:tc>
          <w:tcPr>
            <w:tcW w:type="dxa" w:w="326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8EEF5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参与者</w:t>
            </w:r>
          </w:p>
        </w:tc>
        <w:tc>
          <w:tcPr>
            <w:tcW w:type="dxa" w:w="326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8EEF5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主要结果</w:t>
            </w:r>
          </w:p>
        </w:tc>
      </w:tr>
      <w:tr>
        <w:tc>
          <w:tcPr>
            <w:tcW w:type="dxa" w:w="24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接入手机视频流</w:t>
            </w:r>
          </w:p>
        </w:tc>
        <w:tc>
          <w:tcPr>
            <w:tcW w:type="dxa" w:w="24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交通监控员</w:t>
            </w:r>
          </w:p>
        </w:tc>
        <w:tc>
          <w:tcPr>
            <w:tcW w:type="dxa" w:w="4195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系统接入 MJPEG/RTSP 视频并显示实时画面。</w:t>
            </w:r>
          </w:p>
        </w:tc>
      </w:tr>
      <w:tr>
        <w:tc>
          <w:tcPr>
            <w:tcW w:type="dxa" w:w="24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查看车辆检测与跟踪结果</w:t>
            </w:r>
          </w:p>
        </w:tc>
        <w:tc>
          <w:tcPr>
            <w:tcW w:type="dxa" w:w="24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交通监控员</w:t>
            </w:r>
          </w:p>
        </w:tc>
        <w:tc>
          <w:tcPr>
            <w:tcW w:type="dxa" w:w="4195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画面叠加车辆框、类别、置信度和跟踪 ID。</w:t>
            </w:r>
          </w:p>
        </w:tc>
      </w:tr>
      <w:tr>
        <w:tc>
          <w:tcPr>
            <w:tcW w:type="dxa" w:w="24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查看车流统计与拥堵等级</w:t>
            </w:r>
          </w:p>
        </w:tc>
        <w:tc>
          <w:tcPr>
            <w:tcW w:type="dxa" w:w="24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交通监控员</w:t>
            </w:r>
          </w:p>
        </w:tc>
        <w:tc>
          <w:tcPr>
            <w:tcW w:type="dxa" w:w="4195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展示当前车辆数、密度、平均速度和拥堵等级。</w:t>
            </w:r>
          </w:p>
        </w:tc>
      </w:tr>
      <w:tr>
        <w:tc>
          <w:tcPr>
            <w:tcW w:type="dxa" w:w="24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查看禁停/道路异常告警</w:t>
            </w:r>
          </w:p>
        </w:tc>
        <w:tc>
          <w:tcPr>
            <w:tcW w:type="dxa" w:w="24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交通监控员</w:t>
            </w:r>
          </w:p>
        </w:tc>
        <w:tc>
          <w:tcPr>
            <w:tcW w:type="dxa" w:w="4195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展示禁停、道路异物、障碍物或拥堵告警。</w:t>
            </w:r>
          </w:p>
        </w:tc>
      </w:tr>
      <w:tr>
        <w:tc>
          <w:tcPr>
            <w:tcW w:type="dxa" w:w="24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管理模型与检测参数</w:t>
            </w:r>
          </w:p>
        </w:tc>
        <w:tc>
          <w:tcPr>
            <w:tcW w:type="dxa" w:w="24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系统管理员/算法开发人员</w:t>
            </w:r>
          </w:p>
        </w:tc>
        <w:tc>
          <w:tcPr>
            <w:tcW w:type="dxa" w:w="4195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切换模型并调整置信度、检测间隔、ROI 等参数。</w:t>
            </w:r>
          </w:p>
        </w:tc>
      </w:tr>
      <w:tr>
        <w:tc>
          <w:tcPr>
            <w:tcW w:type="dxa" w:w="24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接入算法推理服务</w:t>
            </w:r>
          </w:p>
        </w:tc>
        <w:tc>
          <w:tcPr>
            <w:tcW w:type="dxa" w:w="24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算法开发人员</w:t>
            </w:r>
          </w:p>
        </w:tc>
        <w:tc>
          <w:tcPr>
            <w:tcW w:type="dxa" w:w="4195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后端调用算法接口并接收检测、跟踪、识别结果。</w:t>
            </w:r>
          </w:p>
        </w:tc>
      </w:tr>
    </w:tbl>
    <w:p/>
    <w:p>
      <w:pPr>
        <w:pStyle w:val="Heading1"/>
      </w:pPr>
      <w:r>
        <w:t>5. 非功能需求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9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8EEF5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类别</w:t>
            </w:r>
          </w:p>
        </w:tc>
        <w:tc>
          <w:tcPr>
            <w:tcW w:type="dxa" w:w="489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E8EEF5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要求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性能</w:t>
            </w:r>
          </w:p>
        </w:tc>
        <w:tc>
          <w:tcPr>
            <w:tcW w:type="dxa" w:w="6803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端到端画面延迟小于 1 秒；基础检测链路目标处理帧率不低于 10 FPS。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可靠性</w:t>
            </w:r>
          </w:p>
        </w:tc>
        <w:tc>
          <w:tcPr>
            <w:tcW w:type="dxa" w:w="6803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视频断连后显示离线状态并支持重新接入；算法不可用时降级为视频监控和演示数据。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可用性</w:t>
            </w:r>
          </w:p>
        </w:tc>
        <w:tc>
          <w:tcPr>
            <w:tcW w:type="dxa" w:w="6803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页面采用浅色高对比度大屏布局，支持 1920×1080 展示和窄窗口纵向堆叠。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可维护性</w:t>
            </w:r>
          </w:p>
        </w:tc>
        <w:tc>
          <w:tcPr>
            <w:tcW w:type="dxa" w:w="6803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前端、后端、算法模块解耦，通过 REST/MJPEG/HTTP 推理接口协作。</w:t>
            </w:r>
          </w:p>
        </w:tc>
      </w:tr>
    </w:tbl>
    <w:p/>
    <w:p>
      <w:pPr>
        <w:pStyle w:val="Heading1"/>
      </w:pPr>
      <w:r>
        <w:t>6. 数据与接口约束</w:t>
      </w:r>
    </w:p>
    <w:p>
      <w:pPr>
        <w:pStyle w:val="ListBullet"/>
        <w:ind w:left="369"/>
      </w:pPr>
      <w:r>
        <w:t>视频输入优先使用手机热点、USB 网络共享或自建局域网，避免校园网客户端隔离导致无法传输。</w:t>
      </w:r>
    </w:p>
    <w:p>
      <w:pPr>
        <w:pStyle w:val="ListBullet"/>
        <w:ind w:left="369"/>
      </w:pPr>
      <w:r>
        <w:t>前端当前采用 MJPEG 视频流和 REST 轮询分析结果，不再以 WebSocket 推帧作为主方案。</w:t>
      </w:r>
    </w:p>
    <w:p>
      <w:pPr>
        <w:pStyle w:val="ListBullet"/>
        <w:ind w:left="369"/>
      </w:pPr>
      <w:r>
        <w:t>S2M 仅作为障碍物识别增强模块，不作为第一版实时主链路强依赖。</w:t>
      </w:r>
    </w:p>
    <w:p>
      <w:pPr>
        <w:pStyle w:val="ListBullet"/>
        <w:ind w:left="369"/>
      </w:pPr>
      <w:r>
        <w:t>历史统计、事件记录、通行记录和模型配置可优先使用 SQLite 或 JSONL 落盘。</w:t>
      </w:r>
    </w:p>
    <w:sectPr w:rsidR="00FC693F" w:rsidRPr="0006063C" w:rsidSect="00034616">
      <w:pgSz w:w="12240" w:h="15840"/>
      <w:pgMar w:top="1181" w:right="1224" w:bottom="1123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