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20" w:lineRule="auto"/>
        <w:jc w:val="right"/>
      </w:pPr>
      <w:r>
        <w:rPr>
          <w:b w:val="false"/>
          <w:bCs w:val="false"/>
          <w:i w:val="false"/>
          <w:iCs w:val="false"/>
          <w:sz w:val="28"/>
          <w:szCs w:val="28"/>
          <w:rtl/>
          <w:strike w:val="false"/>
          <w:rFonts w:ascii="Simplified Arabic" w:cs="Simplified Arabic" w:eastAsia="Simplified Arabic" w:hAnsi="Simplified Arabic"/>
        </w:rPr>
        <w:t xml:space="preserve">إدارة الإعلان - يزيد آل زاهر</w:t>
      </w:r>
    </w:p>
    <w:p>
      <w:pPr>
        <w:bidi w:val="false"/>
        <w:spacing w:line="320" w:lineRule="auto"/>
        <w:jc w:val="left"/>
      </w:pPr>
      <w:r>
        <w:rPr>
          <w:b w:val="false"/>
          <w:bCs w:val="false"/>
          <w:i w:val="false"/>
          <w:iCs w:val="false"/>
          <w:sz w:val="28"/>
          <w:szCs w:val="28"/>
          <w:rtl w:val="false"/>
          <w:strike w:val="false"/>
          <w:rFonts w:ascii="Times New Roman" w:cs="Times New Roman" w:eastAsia="Times New Roman" w:hAnsi="Times New Roman"/>
        </w:rPr>
        <w:t xml:space="preserve">
        * {
            margin: 0;
            padding: 0;
            box-sizing: border-box;
        }
        body {
            background: #eef2f5;
            font-family: 'Times New Roman', 'Simplified Arabic', 'Traditional Arabic', serif;
            padding: 40px 20px;
            line-height: 1.7;
        }
        .thesis-container {
            max-width: 1100px;
            width: 100%;
            margin: 0 auto;
            background: #ffffff;
            border-radius: 16px;
            box-shadow: 0 10px 30px rgba(0, 0, 0, 0.1);
            overflow: hidden;
        }
        .page {
            background: #ffffff;
            padding: 2.5rem 2.2rem 2rem;
            margin: 0;
            page-break-after: always;
            break-inside: avoid;
            border-bottom: 1px solid #e2e8f0;
        }
        .page:last-child {
            border-bottom: none;
            page-break-after: auto;
        }
        .cover-header {
            display: flex;
            justify-content: space-between;
            align-items: flex-start;
            gap: 1.5rem;
            flex-wrap: wrap;
            margin-bottom: 2rem;
            padding-bottom: 1rem;
            border-bottom: 2px solid #cbd5e1;
        }
        .institution-text {
            text-align: right;
            line-height: 1.8;
        }
        .institution-text div {
            font-size: 1rem;
            font-weight: 600;
            color: #1e4a2f;
        }
        .logo-area {
            text-align: left;
        }
        .logo-area img {
            max-width: 85px;
            height: auto;
            display: block;
        }
        .main-content {
            text-align: center;
            margin: 1.5rem 0;
        }
        .course-requirement {
            font-size: 1.8rem;
            font-weight: 500;
            color: #4a6a3b;
            margin-bottom: 1rem;
        }
        .main-title-ar {
            font-size: 3.2rem;
            font-weight: 800;
            color: #0b3b2f;
            margin: 0.4rem 0 0.8rem;
            line-height: 1.4;
        }
        .main-title-en {
            font-size: 1.8rem;
            font-weight: 500;
            color: #2c5a4a;
            margin-bottom: 1.5rem;
            border-bottom: 1px solid #cfdfd4;
            display: inline-block;
            padding-bottom: 0.3rem;
        }
        .author {
            font-size: 1.6rem;
            font-weight: bold;
            color: #b57c2a;
            margin-top: 0.5rem;
        }
        .year {
            font-size: 1.4rem;
            margin-top: 0.5rem;
            font-weight: 500;
        }
        h2 {
            font-size: 18pt;
            font-weight: 700;
            color: #1a6575;
            border-right: 5px solid #f6b352;
            padding-right: 16px;
            margin: 24px 0 16px 0;
        }
        h3 {
            font-size: 16pt;
            font-weight: 600;
            color: #2f7a6e;
            margin: 18px 0 10px 0;
            padding-right: 10px;
        }
        p {
            font-size: 14pt;
            line-height: 1.7;
            text-align: justify;
            margin: 0 0 12px 0;
            text-indent: 1.5em;
        }
        ul, .styled-list {
            font-size: 14pt;
            line-height: 1.7;
            margin: 12px 0 12px 25px;
            padding-right: 10px;
        }
        li {
            margin-bottom: 6px;
        }
        .highlight-box {
            background: #f8fafc;
            border-right: 4px solid #f6b352;
            padding: 14px 20px;
            margin: 16px 0;
            border-radius: 12px;
            font-weight: 500;
        }
        /* تنسيق جدول SWOT */
        .swot-wrapper {
            display: flex;
            justify-content: center;
            margin: 20px 0;
        }
        .swot-grid {
            display: grid;
            grid-template-columns: 1fr 1fr;
            gap: 15px;
            max-width: 800px;
            width: 100%;
        }
        .swot-card {
            background: #fff;
            border-radius: 16px;
            padding: 15px 12px;
            box-shadow: 0 4px 12px rgba(0,0,0,0.08);
            transition: 0.2s;
        }
        .swot-card:hover {
            transform: translateY(-3px);
        }
        .swot-title {
            font-size: 1.3rem;
            font-weight: 800;
            text-align: center;
            margin-bottom: 12px;
            padding: 6px;
            border-radius: 30px;
            color: white;
        }
        .swot-content {
            font-size: 12pt;
            line-height: 1.5;
            color: #2d3e50;
        }
        .swot-content ul {
            margin: 5px 0 0 18px;
            padding-right: 10px;
        }
        .strengths .swot-title { background: #2b7a4b; }
        .weaknesses .swot-title { background: #c0392b; }
        .opportunities .swot-title { background: #2980b9; }
        .threats .swot-title { background: #e67e22; }
        .toc-list {
            list-style: none;
            margin-top: 0.5rem;
        }
        .toc-item {
            margin-bottom: 0.5rem;
        }
        .toc-title {
            font-size: 1rem;
            font-weight: 500;
            color: #2c5e4a;
            display: block;
        }
        .level-1 {
            font-weight: 800;
            font-size: 1.1rem;
            margin-top: 0.8rem;
            color: #1f543f;
            border-right: 3px solid #b48c48;
            padding-right: 10px;
        }
        .new-chapter {
            page-break-before: always;
            break-before: page;
        }
        @media print {
            body {
                background: white;
                padding: 0;
                margin: 0;
            }
            .thesis-container {
                box-shadow: none;
                border-radius: 0;
            }
            .page {
                break-inside: avoid;
                page-break-after: always;
                padding: 2cm;
            }
        }
    </w:t>
      </w:r>
    </w:p>
    <w:p>
      <w:pPr>
        <w:bidi/>
        <w:spacing w:line="400" w:lineRule="auto"/>
        <w:jc w:val="right"/>
      </w:pPr>
      <w:r>
        <w:rPr>
          <w:b/>
          <w:bCs/>
          <w:i w:val="false"/>
          <w:iCs w:val="false"/>
          <w:color w:val="2C5A2E"/>
          <w:sz w:val="38"/>
          <w:szCs w:val="38"/>
          <w:rtl/>
          <w:strike w:val="false"/>
          <w:rFonts w:ascii="Simplified Arabic" w:cs="Simplified Arabic" w:eastAsia="Simplified Arabic" w:hAnsi="Simplified Arabic"/>
        </w:rPr>
        <w:t xml:space="preserve">المحتويات</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المقدمة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الأول: مفهوم الإعلان وأهميته</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الثاني: مراحل تخطيط الحملة الإعلانية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الثالث: الجمهور المستهدف والميزانية الإعلانية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الرابع: قياس فعالية الإعلانات</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الخامس: تحليل الموقف التسويقي وتحليل المنافسين</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السادس: تحديات إدارة الإعلان في العصر الحديث</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السابع: الإعلان وأهدافه واستراتيجياته</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الفصل الثامن: جدولة المخصصات الإعلانية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الخاتمة والنصائح الإدارية الناجحة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قائمة المراجع</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المقدمة</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في عصر تتصارع فيه آلاف الرسائل التسويقية يوميًا على انتباه المستهلك، أصبح الإعلان فنًا وعلمًا في آنٍ معًا. لم يعد الإعلان مجرد وسيلة لإعلام الجمهور بوجود منتج ما، بل تحول إلى أداة استراتيجية لبناء العلاقات، وتشكيل السلوك، وخلق قيمة للعلامة التجارية. إدارة الإعلان ليست مهمة هامشية، بل هي وظيفة محورية داخل أي منظمة تسعى للنمو والبقاء في الأسواق التنافسية. يستمد الإعلان أهميته من قدرته على التأثير في سلوك المستهلك، وتوجيه قراراته الشرائية، وبناء ولاء طويل الأمد للعلامات التجارية. في ظل التطور التكنولوجي السريع وظهور منصات رقمية جديدة، أصبح من الضروري للمؤسسات أن تفهم بعمق أدوات تحليل الموقف والمنافسين لتتمكن من صياغة استراتيجيات إعلانية فعالة تحقق أقصى عائد على الاستثمار. يهدف هذا البحث إلى تقديم إطار شامل لإدارة الإعلان، بدءًا من المفاهيم الأساسية، مرورًا بأنواع الإعلانات، وتخطيط الحملات، وتحليل الجمهور والمنافسين، وصولًا إلى قياس الأداء وأبرز التحديات في العصر الرقمي.</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الأول: مفهوم الإعلان وأهميته</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الإعلان هو عملية تواصل مدفوعة الأجر وغير شخصية، تهدف إلى تقديم وترويج منتج، خدمة، أو فكرة لجمهور مستهدف. يُعد الإعلان حجر الزاوية في استراتيجيات التسويق الحديثة، حيث يُسهم بفعالية في: بناء الوعي بالعلامة التجارية وزيادة شهرتها، تحفيز المبيعات وتحقيق الأهداف التجارية، إيصال الرسائل التسويقية بوضوح وفعالية، والتأثير على سلوك المستهلك وقرارات الشراء. من أبرز أنواع الإعلانات: الإعلانات الخارجية (اللوحات الإعلانية)، والإعلانات الرقمية (عبر منصات التواصل ومحركات البحث)، والإعلانات المطبوعة (الصحف والمجلات)، والإعلانات التلفزيونية. لكل نوع خصائصه وجمهوره المناسب، ويعتمد نجاح الإعلان على اختيار النوع الأمثل الذي يتوافق مع طبيعة المنتج والجمهور المستهدف.</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الثاني: مراحل تخطيط الحملة الإعلانية</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تتطلب الحملة الإعلانية الناجحة تخطيطًا دقيقًا يمر بخمس مراحل متكاملة. تبدأ المرحلة الأولى بالبحث وجمع البيانات عن السوق والجمهور والمنافسين، وتُستخدم فيها أدوات مثل الاستبيانات والمقابلات وتحليل البيانات الثانوية. المرحلة الثانية هي الاستراتيجية، حيث تُحدد أهداف الحملة بدقة (زيادة الوعي، تحفيز المبيعات، تغيير الاتجاهات) وتُصاغ الرسائل الرئيسية. المرحلة الثالثة هي الإبداع، وتشمل تصميم المحتوى الإعلاني (نصوص، صور، فيديوهات) بأسلوب يجذب الانتباه ويحقق الأهداف. المرحلة الرابعة هي النشر، وتشمل اختيار القنوات المناسبة (تلفزيون، رقمية، مطبوعة) وجدولة ظهور الإعلانات في الأوقات المثلى. أما المرحلة الخامسة والأخيرة فهي التقييم، وتُستخدم فيها مؤشرات الأداء الرئيسية (KPIs) مثل معدل التحويل، العائد على الإنفاق الإعلاني، ونسبة الوعي بالعلامة التجارية، وذلك لقياس النتائج وتحسين الحملات المستقبلية. التكامل بين هذه المراحل هو مفتاح النجاح، فلا تغني مرحلة عن أخرى، ويجب أن تكون هناك حلقة تغذية راجعة مستمرة بين التقييم والتخطيط.</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الثالث: الجمهور المستهدف والميزانية الإعلانية</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تحديد الجمهور المستهدف هو الخطوة الأساسية لأي حملة إعلانية، ويتطلب فهمًا دقيقًا للخصائص الديموغرافية (العمر، الجنس، الدخل، الموقع)، والخصائص النفسية (الاهتمامات، القيم، نمط الحياة، الشخصية)، والخصائص السلوكية (عادات الشراء، الولاء للعلامة، مرحلة الاستعداد للشراء). تُستخدم أدوات مثل تحليل البيانات الكبيرة، واستبيانات العملاء، ومراقبة وسائل التواصل الاجتماعي لرسم صورة واضحة للشخصية الشرائية (Buyer Persona). أما الميزانية الإعلانية فتتطلب تخطيطًا مالياً دقيقًا، ويمكن تحديدها بعدة طرق: نسبة من المبيعات (تحديد نسبة ثابتة من إيرادات المبيعات)، طريقة الهدف والمهمة (تقدير التكلفة اللازمة لتحقيق أهداف محددة)، والطريقة التنافسية (مواكبة إنفاق المنافسين). بعد تحديد الميزانية الإجمالية، تُوزع على القنوات المختلفة مع ترك نسبة احتياطي (10-15%) للتعديلات غير المتوقعة. إدارة الميزانية بكفاءة تتطلب متابعة يومية للإنفاق وتحليل العائد لكل قناة، وإعادة تخصيص الأموال من القنوات الأقل كفاءة إلى الأكثر تحقيقًا للنتائج.</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الرابع: قياس فعالية الإعلانات</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لا تكتمل أي حملة إعلانية دون قياس فعاليتها، حيث يساعد القياس في تحديد ما إذا كانت الحملة تحقق أهدافها وتوجيه التحسينات المستقبلية. من أبرز مؤشرات القياس: معدل التحويل (Conversion Rate) وهو النسبة المئوية للزوار الذين أكملوا الإجراء المطلوب (شراء، تسجيل، تحميل). والعائد على الإنفاق الإعلاني (ROAS) وهو الإيرادات الناتجة مقسومة على تكلفة الإعلان، وكلما زاد عن 1 كان أفضل. والتكلفة لكل نقرة (CPC) والتكلفة لكل ألف ظهور (CPM)، وتُستخدم لقياس كفاءة الإنفاق في الإعلانات الرقمية. كما تُستخدم أدوات متخصصة مثل Google Analytics لتتبع سلوك الزوار، وأدوات إدارة وسائل التواصل الاجتماعي لقياس التفاعل والوصول، والاستبيانات لقياس الوعي بالعلامة التجارية قبل الحملة وبعدها. من المهم أيضًا قياس مؤشرات غير مباشرة مثل صافي نقاط الترويج (NPS) ورضا العملاء. التحليل الدوري للبيانات وتعديل الاستراتيجيات بناءً على النتائج هو ما يميز الحملات الناجحة عن غيرها.</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الخامس: تحليل الموقف التسويقي وتحليل المنافسين</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تحليل الموقف هو عملية جمع وتقييم وتنظيم المعلومات المتعلقة بالبيئات الداخلية والخارجية للمؤسسة. من أبرز الأدوات: SWOT (نقاط القوة والضعف والفرص والتهديدات)، PESTLE (العوامل السياسية والاقتصادية والاجتماعية والتكنولوجية والقانونية والبيئية)، والقوى الخمس لبورتر لتحليل التنافس في الصناعة. كما يساعد تحليل المنافسين في فهم استراتيجيات الآخرين واستغلال الفجوات في السوق. فيما يلي نموذج تطبيقي لتحليل SWOT:</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سمعة قوية للعلامة التجارية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فريق تسويق مبدع وذو خبرة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قدرة مالية تسمح بحملات واسعة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علاقات متينة مع وسائل الإعلام</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ميزانية محدودة للقنوات الرقمية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قلة استخدام تحليلات البيانات</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ضعف التواجد في بعض الأسواق الجديدة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اعتماد كبير على وسيلة إعلانية واحدة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نمو التجارة الإلكترونية ووسائل التواصل</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إمكانية استخدام الذكاء الاصطناعي في الاستهداف</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شراكات استراتيجية مع مؤثرين جدد</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توسع السوق نحو فئات عمرية شابة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تشريعات الخصوصية وقلة البيانات المتاحة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منافسة شرسة من علامات عالمية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تغير سريع في خوارزميات المنصات</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ظهور تقنيات إعلانية جديدة</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السادس: تحديات إدارة الإعلان في العصر الحديث</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يتسم المشهد الإعلاني اليوم بالديناميكية والتغير المستمر، مما يفرض تحديات جديدة على المعلنين. من أبرز هذه التحديات: تغير سلوك المستهلك بتوقعات عالية وقنوات متعددة ومدى انتباه قصير، مما يتطلب محتوى سريعًا وجذابًا. كما تزداد المنافسة شراسة مع زيادة عدد المعلنين وتشتت الجمهور بين المنصات، مما يرفع تكلفة الوصول إلى العميل. من التحديات الكبرى أيضًا قيود خصوصية البيانات (مثل تشريعات GDPR وقوانين حماية البيانات)، والتي تحد من قدرة المعلنين على استهداف المستخدمين بدقة وتتبع سلوكهم. كما تفرض التقنيات المتطورة (الذكاء الاصطناعي، الواقع الافتراضي، الإعلان البرمجي) حاجة مستمرة لمواكبة المستجدات وتدريب الكوادر. للتغلب على هذه التحديات، يجب على المؤسسات الاستثمار في التعلم المستمر، وتبني ثقافة التجريب والتحليل، والتركيز على بناء الثقة مع العملاء من خلال الشفافية واحترام الخصوصية.</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السابع: الإعلان وأهدافه واستراتيجياته</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تتنوع الأهداف التي يسعى الإعلان لتحقيقها تبعًا لمرحلة دورة حياة المنتج وطبيعة السوق. من أبرز الأهداف: خلق الوعي بالعلامة التجارية (خاصة عند إطلاق منتج جديد)، وتغيير اتجاهات المستهلكين نحو استخدامات مختلفة، وتثبيت صورة ذهنية إيجابية، ومواجهة حملات المنافسين، وبناء ولاء طويل الأمد للعملاء، وتحفيز البيع المباشر. يمكن أن تكون الأهداف مباشرة (زيادة المبيعات في فترة محددة) أو غير مباشرة (تحسين سمعة المؤسسة). أما الاستراتيجيات الإعلانية الفعالة فتشمل: استراتيجية الدفع (Push) التي تركز على قنوات التوزيع، واستراتيجية السحب (Pull) التي تستهدف المستهلك النهائي، والاستراتيجية العاطفية التي تلامس مشاعر الجمهور، والاستراتيجية العقلانية التي تعتمد على الحقائق والمزايا التنافسية. في العصر الرقمي، أصبحت استراتيجيات إعادة الاستهداف (Retargeting) والتخصيص (Personalization) من أكثر الأساليب تحقيقًا للعائد على الاستثمار. كما تلعب استراتيجية التكامل بين الوسائل المختلفة دورًا محوريًا في إيصال رسالة موحدة وقوية عبر جميع نقاط التلامس مع المستهلك.</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الفصل الثامن: جدولة المخصصات الإعلانية</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الجدولة هي عملية توزيع الإنفاق الإعلاني عبر فترات زمنية محددة بهدف تحقيق أقصى تأثير. من أبرز استراتيجيات الجدولة: استراتيجية التموج (Wave) حيث يظهر الإعلان على شكل موجات متباعدة، وتناسب المنتجات الموسمية. واستراتيجية التركيز (Concentration) التي تركز الحملة في فترة زمنية قصيرة جدًا مثل أيام العروض الخاصة. واستراتيجية الإكثار (Repetition) التي تهدف إلى الوصول المتكرر للجمهور دون اهتمام كبير بفجوات التوقيت. كما توجد استراتيجية مستمرة (Continuous) بإنفاق ثابت طوال العام، وهي مناسبة للمنتجات ذات الطلب اليومي الثابت. اختيار الإستراتيجية الأمثل يعتمد على سلوك شراء الجمهور، دورة حياة المنتج، نشاط المنافسين، وموسمية الطلب. فيما يتعلق بحجم الإعلان ومكانه: في الوسائل المطبوعة، مضاعفة الحجم لا تضاعف النتائج، بل الأهم جودة التصميم. في التلفزيون، قصر مدة الإعلان (15 ثانية) يمكن أن تكون فعالة جدًا إذا كان المحتوى جذابًا، ويُفضل وضع الإعلانات وسط البرامج بدلًا من الفواصل الطويلة. في الإعلان الرقمي، تسمح الجدولة الآلية بعرض الإعلانات في الأوقات والأماكن الأكثر تحقيقًا للتفاعل. إدارة الجدولة بشكل احترافي تقلل التكلفة لكل ألف ظهور وتحسن العائد الإجمالي للحملة.</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الخاتمة والنصائح الإدارية الناجحة</w:t>
      </w:r>
    </w:p>
    <w:p>
      <w:pPr>
        <w:bidi/>
        <w:spacing w:line="360" w:lineRule="auto"/>
        <w:jc w:val="right"/>
      </w:pPr>
      <w:r>
        <w:rPr>
          <w:b w:val="false"/>
          <w:bCs w:val="false"/>
          <w:i w:val="false"/>
          <w:iCs w:val="false"/>
          <w:sz w:val="28"/>
          <w:szCs w:val="28"/>
          <w:rtl/>
          <w:strike w:val="false"/>
          <w:rFonts w:ascii="Simplified Arabic" w:cs="Simplified Arabic" w:eastAsia="Simplified Arabic" w:hAnsi="Simplified Arabic"/>
        </w:rPr>
        <w:t xml:space="preserve">تعد إدارة الإعلان عملية معقدة ومتعددة الأبعاد، تجمع بين الفن والعلم، والإبداع والتحليل. وقد تبين أن الإعلان الفعال لا يقتصر على مجرد رسالة جذابة، بل يمتد ليشمل دراسة متعمقة وتحليلاً دقيقًا للبيئة التسويقية. نصائح لإدارة إعلانية ناجحة: افهم جمهورك بعمق باستخدام البيانات والتحليلات، وكن مبدعًا ومبتكرًا لتبرز في الزحام الإعلاني، واستثمر في القنوات المناسبة حيث يتواجد جمهورك، وقس وحلل باستمرار وراقب الأداء وعدّل استراتيجياتك بناءً على النتائج. الإدارة الناجحة هي التي تدمج بين الرؤية الاستراتيجية، والتنفيذ الإبداعي، والرقابة المالية المستمرة، مع الالتزام بالتحليل الدوري للموقف والمنافسين، لبناء علامات تجارية قوية ومستدامة.</w:t>
      </w:r>
    </w:p>
    <w:p>
      <w:pPr>
        <w:bidi/>
        <w:spacing w:line="320" w:lineRule="auto"/>
        <w:jc w:val="right"/>
      </w:pPr>
      <w:r>
        <w:rPr>
          <w:b/>
          <w:bCs/>
          <w:i w:val="false"/>
          <w:iCs w:val="false"/>
          <w:sz w:val="28"/>
          <w:szCs w:val="28"/>
          <w:rtl/>
          <w:strike w:val="false"/>
          <w:rFonts w:ascii="Simplified Arabic" w:cs="Simplified Arabic" w:eastAsia="Simplified Arabic" w:hAnsi="Simplified Arabic"/>
        </w:rPr>
        <w:t xml:space="preserve">شكرًا لحسن استماعكم. هل لديكم أي أسئلة أو استفسارات؟</w:t>
      </w:r>
    </w:p>
    <w:p>
      <w:pPr>
        <w:bidi/>
        <w:spacing w:line="380" w:lineRule="auto"/>
        <w:jc w:val="right"/>
      </w:pPr>
      <w:r>
        <w:rPr>
          <w:b/>
          <w:bCs/>
          <w:i w:val="false"/>
          <w:iCs w:val="false"/>
          <w:sz w:val="32"/>
          <w:szCs w:val="32"/>
          <w:rtl/>
          <w:strike w:val="false"/>
          <w:rFonts w:ascii="Simplified Arabic" w:cs="Simplified Arabic" w:eastAsia="Simplified Arabic" w:hAnsi="Simplified Arabic"/>
        </w:rPr>
        <w:t xml:space="preserve">قائمة المراجع</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سامي عبد العزيز (2009). </w:t>
      </w:r>
      <w:r>
        <w:rPr>
          <w:b w:val="false"/>
          <w:bCs w:val="false"/>
          <w:i/>
          <w:iCs/>
          <w:sz w:val="28"/>
          <w:szCs w:val="28"/>
          <w:rtl/>
          <w:strike w:val="false"/>
          <w:rFonts w:ascii="Simplified Arabic" w:cs="Simplified Arabic" w:eastAsia="Simplified Arabic" w:hAnsi="Simplified Arabic"/>
        </w:rPr>
        <w:t xml:space="preserve">إدارة الإعلان واقتصادياته</w:t>
      </w:r>
      <w:r>
        <w:rPr>
          <w:b w:val="false"/>
          <w:bCs w:val="false"/>
          <w:i w:val="false"/>
          <w:iCs w:val="false"/>
          <w:sz w:val="28"/>
          <w:szCs w:val="28"/>
          <w:rtl/>
          <w:strike w:val="false"/>
          <w:rFonts w:ascii="Simplified Arabic" w:cs="Simplified Arabic" w:eastAsia="Simplified Arabic" w:hAnsi="Simplified Arabic"/>
        </w:rPr>
        <w:t xml:space="preserve">. كلية الإعلام – جامعة القاهرة.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عبد الرحمن توفيق (2018). </w:t>
      </w:r>
      <w:r>
        <w:rPr>
          <w:b w:val="false"/>
          <w:bCs w:val="false"/>
          <w:i/>
          <w:iCs/>
          <w:sz w:val="28"/>
          <w:szCs w:val="28"/>
          <w:rtl/>
          <w:strike w:val="false"/>
          <w:rFonts w:ascii="Simplified Arabic" w:cs="Simplified Arabic" w:eastAsia="Simplified Arabic" w:hAnsi="Simplified Arabic"/>
        </w:rPr>
        <w:t xml:space="preserve">استراتيجيات التسويق الحديث</w:t>
      </w:r>
      <w:r>
        <w:rPr>
          <w:b w:val="false"/>
          <w:bCs w:val="false"/>
          <w:i w:val="false"/>
          <w:iCs w:val="false"/>
          <w:sz w:val="28"/>
          <w:szCs w:val="28"/>
          <w:rtl/>
          <w:strike w:val="false"/>
          <w:rFonts w:ascii="Simplified Arabic" w:cs="Simplified Arabic" w:eastAsia="Simplified Arabic" w:hAnsi="Simplified Arabic"/>
        </w:rPr>
        <w:t xml:space="preserve">. الدار الجامعية للإعلام والنشر، الإسكندرية.</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محمد إبراهيم حسن (2020). </w:t>
      </w:r>
      <w:r>
        <w:rPr>
          <w:b w:val="false"/>
          <w:bCs w:val="false"/>
          <w:i/>
          <w:iCs/>
          <w:sz w:val="28"/>
          <w:szCs w:val="28"/>
          <w:rtl/>
          <w:strike w:val="false"/>
          <w:rFonts w:ascii="Simplified Arabic" w:cs="Simplified Arabic" w:eastAsia="Simplified Arabic" w:hAnsi="Simplified Arabic"/>
        </w:rPr>
        <w:t xml:space="preserve">فعالية الإعلان الرقمي في التأثير على سلوك المستهلك</w:t>
      </w:r>
      <w:r>
        <w:rPr>
          <w:b w:val="false"/>
          <w:bCs w:val="false"/>
          <w:i w:val="false"/>
          <w:iCs w:val="false"/>
          <w:sz w:val="28"/>
          <w:szCs w:val="28"/>
          <w:rtl/>
          <w:strike w:val="false"/>
          <w:rFonts w:ascii="Simplified Arabic" w:cs="Simplified Arabic" w:eastAsia="Simplified Arabic" w:hAnsi="Simplified Arabic"/>
        </w:rPr>
        <w:t xml:space="preserve">. مجلة بحوث التسويق، المجلد 12، العدد 3.</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خالد بن عبد الله المنيف (2021). </w:t>
      </w:r>
      <w:r>
        <w:rPr>
          <w:b w:val="false"/>
          <w:bCs w:val="false"/>
          <w:i/>
          <w:iCs/>
          <w:sz w:val="28"/>
          <w:szCs w:val="28"/>
          <w:rtl/>
          <w:strike w:val="false"/>
          <w:rFonts w:ascii="Simplified Arabic" w:cs="Simplified Arabic" w:eastAsia="Simplified Arabic" w:hAnsi="Simplified Arabic"/>
        </w:rPr>
        <w:t xml:space="preserve">إدارة الحملات الإعلانية المتكاملة</w:t>
      </w:r>
      <w:r>
        <w:rPr>
          <w:b w:val="false"/>
          <w:bCs w:val="false"/>
          <w:i w:val="false"/>
          <w:iCs w:val="false"/>
          <w:sz w:val="28"/>
          <w:szCs w:val="28"/>
          <w:rtl/>
          <w:strike w:val="false"/>
          <w:rFonts w:ascii="Simplified Arabic" w:cs="Simplified Arabic" w:eastAsia="Simplified Arabic" w:hAnsi="Simplified Arabic"/>
        </w:rPr>
        <w:t xml:space="preserve">. معهد الإدارة العامة، الرياض.</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نادية فوزي (2022). </w:t>
      </w:r>
      <w:r>
        <w:rPr>
          <w:b w:val="false"/>
          <w:bCs w:val="false"/>
          <w:i/>
          <w:iCs/>
          <w:sz w:val="28"/>
          <w:szCs w:val="28"/>
          <w:rtl/>
          <w:strike w:val="false"/>
          <w:rFonts w:ascii="Simplified Arabic" w:cs="Simplified Arabic" w:eastAsia="Simplified Arabic" w:hAnsi="Simplified Arabic"/>
        </w:rPr>
        <w:t xml:space="preserve">تحليل SWOT وتطبيقاته في التخطيط الاستراتيجي</w:t>
      </w:r>
      <w:r>
        <w:rPr>
          <w:b w:val="false"/>
          <w:bCs w:val="false"/>
          <w:i w:val="false"/>
          <w:iCs w:val="false"/>
          <w:sz w:val="28"/>
          <w:szCs w:val="28"/>
          <w:rtl/>
          <w:strike w:val="false"/>
          <w:rFonts w:ascii="Simplified Arabic" w:cs="Simplified Arabic" w:eastAsia="Simplified Arabic" w:hAnsi="Simplified Arabic"/>
        </w:rPr>
        <w:t xml:space="preserve">. المجلة العربية للإدارة، المجلد 42، العدد 1.</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مركز الإعلام والدراسات - العتبة العلوية المقدسة. </w:t>
      </w:r>
      <w:r>
        <w:rPr>
          <w:b w:val="false"/>
          <w:bCs w:val="false"/>
          <w:i/>
          <w:iCs/>
          <w:sz w:val="28"/>
          <w:szCs w:val="28"/>
          <w:rtl/>
          <w:strike w:val="false"/>
          <w:rFonts w:ascii="Simplified Arabic" w:cs="Simplified Arabic" w:eastAsia="Simplified Arabic" w:hAnsi="Simplified Arabic"/>
        </w:rPr>
        <w:t xml:space="preserve">أنواع وكالات الإعلان وتنظيم إدارة الإعلان</w:t>
      </w:r>
      <w:r>
        <w:rPr>
          <w:b w:val="false"/>
          <w:bCs w:val="false"/>
          <w:i w:val="false"/>
          <w:iCs w:val="false"/>
          <w:sz w:val="28"/>
          <w:szCs w:val="28"/>
          <w:rtl/>
          <w:strike w:val="false"/>
          <w:rFonts w:ascii="Simplified Arabic" w:cs="Simplified Arabic" w:eastAsia="Simplified Arabic" w:hAnsi="Simplified Arabic"/>
        </w:rPr>
        <w:t xml:space="preserve">. موسوعة "الإعلام".</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المسوق العربي (2024). </w:t>
      </w:r>
      <w:r>
        <w:rPr>
          <w:b w:val="false"/>
          <w:bCs w:val="false"/>
          <w:i/>
          <w:iCs/>
          <w:sz w:val="28"/>
          <w:szCs w:val="28"/>
          <w:rtl/>
          <w:strike w:val="false"/>
          <w:rFonts w:ascii="Simplified Arabic" w:cs="Simplified Arabic" w:eastAsia="Simplified Arabic" w:hAnsi="Simplified Arabic"/>
        </w:rPr>
        <w:t xml:space="preserve">وكالة الإعلان: المعنى، الأنواع، القسم، مصدر الدخل</w:t>
      </w:r>
      <w:r>
        <w:rPr>
          <w:b w:val="false"/>
          <w:bCs w:val="false"/>
          <w:i w:val="false"/>
          <w:iCs w:val="false"/>
          <w:sz w:val="28"/>
          <w:szCs w:val="28"/>
          <w:rtl/>
          <w:strike w:val="false"/>
          <w:rFonts w:ascii="Simplified Arabic" w:cs="Simplified Arabic" w:eastAsia="Simplified Arabic" w:hAnsi="Simplified Arabic"/>
        </w:rPr>
        <w:t xml:space="preserve">.</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شركة هونغ كونغ كايسون للتكنولوجيا (2025). </w:t>
      </w:r>
      <w:r>
        <w:rPr>
          <w:b w:val="false"/>
          <w:bCs w:val="false"/>
          <w:i/>
          <w:iCs/>
          <w:sz w:val="28"/>
          <w:szCs w:val="28"/>
          <w:rtl/>
          <w:strike w:val="false"/>
          <w:rFonts w:ascii="Simplified Arabic" w:cs="Simplified Arabic" w:eastAsia="Simplified Arabic" w:hAnsi="Simplified Arabic"/>
        </w:rPr>
        <w:t xml:space="preserve">ما هو الإعلان الرقمي وكيفية اختيار أفضل حل؟</w:t>
      </w:r>
    </w:p>
    <w:p>
      <w:pPr>
        <w:bidi/>
        <w:spacing w:line="300"/>
        <w:ind w:left="360"/>
        <w:jc w:val="right"/>
      </w:pPr>
      <w:r>
        <w:rPr>
          <w:sz w:val="28"/>
          <w:szCs w:val="28"/>
          <w:rtl/>
          <w:rFonts w:ascii="Simplified Arabic" w:cs="Simplified Arabic" w:eastAsia="Simplified Arabic" w:hAnsi="Simplified Arabic"/>
        </w:rPr>
        <w:t xml:space="preserve">• </w:t>
      </w:r>
      <w:r>
        <w:rPr>
          <w:b w:val="false"/>
          <w:bCs w:val="false"/>
          <w:i w:val="false"/>
          <w:iCs w:val="false"/>
          <w:sz w:val="28"/>
          <w:szCs w:val="28"/>
          <w:rtl/>
          <w:strike w:val="false"/>
          <w:rFonts w:ascii="Simplified Arabic" w:cs="Simplified Arabic" w:eastAsia="Simplified Arabic" w:hAnsi="Simplified Arabic"/>
        </w:rPr>
        <w:t xml:space="preserve">التسويق اليوم (2025). </w:t>
      </w:r>
      <w:r>
        <w:rPr>
          <w:b w:val="false"/>
          <w:bCs w:val="false"/>
          <w:i/>
          <w:iCs/>
          <w:sz w:val="28"/>
          <w:szCs w:val="28"/>
          <w:rtl/>
          <w:strike w:val="false"/>
          <w:rFonts w:ascii="Simplified Arabic" w:cs="Simplified Arabic" w:eastAsia="Simplified Arabic" w:hAnsi="Simplified Arabic"/>
        </w:rPr>
        <w:t xml:space="preserve">تحليل المنافسين: استراتيجيات عملية للتفوق في السوق</w:t>
      </w:r>
      <w:r>
        <w:rPr>
          <w:b w:val="false"/>
          <w:bCs w:val="false"/>
          <w:i w:val="false"/>
          <w:iCs w:val="false"/>
          <w:sz w:val="28"/>
          <w:szCs w:val="28"/>
          <w:rtl/>
          <w:strike w:val="false"/>
          <w:rFonts w:ascii="Simplified Arabic" w:cs="Simplified Arabic" w:eastAsia="Simplified Arabic" w:hAnsi="Simplified Arabic"/>
        </w:rPr>
        <w:t xml:space="preserve">.</w:t>
      </w:r>
    </w:p>
    <w:p>
      <w:pPr>
        <w:bidi w:val="false"/>
        <w:spacing w:line="300"/>
        <w:ind w:left="360"/>
        <w:jc w:val="left"/>
      </w:pPr>
      <w:r>
        <w:rPr>
          <w:sz w:val="28"/>
          <w:szCs w:val="28"/>
          <w:rtl w:val="false"/>
          <w:rFonts w:ascii="Times New Roman" w:cs="Times New Roman" w:eastAsia="Times New Roman" w:hAnsi="Times New Roman"/>
        </w:rPr>
        <w:t xml:space="preserve">• </w:t>
      </w:r>
      <w:r>
        <w:rPr>
          <w:b w:val="false"/>
          <w:bCs w:val="false"/>
          <w:i w:val="false"/>
          <w:iCs w:val="false"/>
          <w:sz w:val="28"/>
          <w:szCs w:val="28"/>
          <w:rtl w:val="false"/>
          <w:strike w:val="false"/>
          <w:rFonts w:ascii="Times New Roman" w:cs="Times New Roman" w:eastAsia="Times New Roman" w:hAnsi="Times New Roman"/>
        </w:rPr>
        <w:t xml:space="preserve">Kotler, P., &amp; Keller, K. L. (2021). </w:t>
      </w:r>
      <w:r>
        <w:rPr>
          <w:b w:val="false"/>
          <w:bCs w:val="false"/>
          <w:i/>
          <w:iCs/>
          <w:sz w:val="28"/>
          <w:szCs w:val="28"/>
          <w:rtl w:val="false"/>
          <w:strike w:val="false"/>
          <w:rFonts w:ascii="Times New Roman" w:cs="Times New Roman" w:eastAsia="Times New Roman" w:hAnsi="Times New Roman"/>
        </w:rPr>
        <w:t xml:space="preserve">Marketing Management</w:t>
      </w:r>
      <w:r>
        <w:rPr>
          <w:b w:val="false"/>
          <w:bCs w:val="false"/>
          <w:i w:val="false"/>
          <w:iCs w:val="false"/>
          <w:sz w:val="28"/>
          <w:szCs w:val="28"/>
          <w:rtl w:val="false"/>
          <w:strike w:val="false"/>
          <w:rFonts w:ascii="Times New Roman" w:cs="Times New Roman" w:eastAsia="Times New Roman" w:hAnsi="Times New Roman"/>
        </w:rPr>
        <w:t xml:space="preserve"> (16th ed.). Pearson.</w:t>
      </w:r>
    </w:p>
    <w:p>
      <w:pPr>
        <w:bidi w:val="false"/>
        <w:spacing w:line="300"/>
        <w:ind w:left="360"/>
        <w:jc w:val="left"/>
      </w:pPr>
      <w:r>
        <w:rPr>
          <w:sz w:val="28"/>
          <w:szCs w:val="28"/>
          <w:rtl w:val="false"/>
          <w:rFonts w:ascii="Times New Roman" w:cs="Times New Roman" w:eastAsia="Times New Roman" w:hAnsi="Times New Roman"/>
        </w:rPr>
        <w:t xml:space="preserve">• </w:t>
      </w:r>
      <w:r>
        <w:rPr>
          <w:b w:val="false"/>
          <w:bCs w:val="false"/>
          <w:i w:val="false"/>
          <w:iCs w:val="false"/>
          <w:sz w:val="28"/>
          <w:szCs w:val="28"/>
          <w:rtl w:val="false"/>
          <w:strike w:val="false"/>
          <w:rFonts w:ascii="Times New Roman" w:cs="Times New Roman" w:eastAsia="Times New Roman" w:hAnsi="Times New Roman"/>
        </w:rPr>
        <w:t xml:space="preserve">Belch, G. E., &amp; Belch, M. A. (2021). </w:t>
      </w:r>
      <w:r>
        <w:rPr>
          <w:b w:val="false"/>
          <w:bCs w:val="false"/>
          <w:i/>
          <w:iCs/>
          <w:sz w:val="28"/>
          <w:szCs w:val="28"/>
          <w:rtl w:val="false"/>
          <w:strike w:val="false"/>
          <w:rFonts w:ascii="Times New Roman" w:cs="Times New Roman" w:eastAsia="Times New Roman" w:hAnsi="Times New Roman"/>
        </w:rPr>
        <w:t xml:space="preserve">Advertising and Promotion</w:t>
      </w:r>
      <w:r>
        <w:rPr>
          <w:b w:val="false"/>
          <w:bCs w:val="false"/>
          <w:i w:val="false"/>
          <w:iCs w:val="false"/>
          <w:sz w:val="28"/>
          <w:szCs w:val="28"/>
          <w:rtl w:val="false"/>
          <w:strike w:val="false"/>
          <w:rFonts w:ascii="Times New Roman" w:cs="Times New Roman" w:eastAsia="Times New Roman" w:hAnsi="Times New Roman"/>
        </w:rPr>
        <w:t xml:space="preserve"> (12th ed.). McGraw-Hill.</w:t>
      </w:r>
    </w:p>
    <w:p>
      <w:pPr>
        <w:bidi w:val="false"/>
        <w:spacing w:line="300"/>
        <w:ind w:left="360"/>
        <w:jc w:val="left"/>
      </w:pPr>
      <w:r>
        <w:rPr>
          <w:sz w:val="28"/>
          <w:szCs w:val="28"/>
          <w:rtl w:val="false"/>
          <w:rFonts w:ascii="Times New Roman" w:cs="Times New Roman" w:eastAsia="Times New Roman" w:hAnsi="Times New Roman"/>
        </w:rPr>
        <w:t xml:space="preserve">• </w:t>
      </w:r>
      <w:r>
        <w:rPr>
          <w:b w:val="false"/>
          <w:bCs w:val="false"/>
          <w:i w:val="false"/>
          <w:iCs w:val="false"/>
          <w:sz w:val="28"/>
          <w:szCs w:val="28"/>
          <w:rtl w:val="false"/>
          <w:strike w:val="false"/>
          <w:rFonts w:ascii="Times New Roman" w:cs="Times New Roman" w:eastAsia="Times New Roman" w:hAnsi="Times New Roman"/>
        </w:rPr>
        <w:t xml:space="preserve">Porter, M. E. (2008). </w:t>
      </w:r>
      <w:r>
        <w:rPr>
          <w:b w:val="false"/>
          <w:bCs w:val="false"/>
          <w:i/>
          <w:iCs/>
          <w:sz w:val="28"/>
          <w:szCs w:val="28"/>
          <w:rtl w:val="false"/>
          <w:strike w:val="false"/>
          <w:rFonts w:ascii="Times New Roman" w:cs="Times New Roman" w:eastAsia="Times New Roman" w:hAnsi="Times New Roman"/>
        </w:rPr>
        <w:t xml:space="preserve">The Five Competitive Forces That Shape Strategy</w:t>
      </w:r>
      <w:r>
        <w:rPr>
          <w:b w:val="false"/>
          <w:bCs w:val="false"/>
          <w:i w:val="false"/>
          <w:iCs w:val="false"/>
          <w:sz w:val="28"/>
          <w:szCs w:val="28"/>
          <w:rtl w:val="false"/>
          <w:strike w:val="false"/>
          <w:rFonts w:ascii="Times New Roman" w:cs="Times New Roman" w:eastAsia="Times New Roman" w:hAnsi="Times New Roman"/>
        </w:rPr>
        <w:t xml:space="preserve">. HBR.</w:t>
      </w:r>
    </w:p>
    <w:p>
      <w:pPr>
        <w:bidi w:val="false"/>
        <w:spacing w:line="300"/>
        <w:ind w:left="360"/>
        <w:jc w:val="left"/>
      </w:pPr>
      <w:r>
        <w:rPr>
          <w:sz w:val="28"/>
          <w:szCs w:val="28"/>
          <w:rtl w:val="false"/>
          <w:rFonts w:ascii="Times New Roman" w:cs="Times New Roman" w:eastAsia="Times New Roman" w:hAnsi="Times New Roman"/>
        </w:rPr>
        <w:t xml:space="preserve">• </w:t>
      </w:r>
      <w:r>
        <w:rPr>
          <w:b w:val="false"/>
          <w:bCs w:val="false"/>
          <w:i w:val="false"/>
          <w:iCs w:val="false"/>
          <w:sz w:val="28"/>
          <w:szCs w:val="28"/>
          <w:rtl w:val="false"/>
          <w:strike w:val="false"/>
          <w:rFonts w:ascii="Times New Roman" w:cs="Times New Roman" w:eastAsia="Times New Roman" w:hAnsi="Times New Roman"/>
        </w:rPr>
        <w:t xml:space="preserve">Chaffey, D., &amp; Ellis-Chadwick, F. (2019). </w:t>
      </w:r>
      <w:r>
        <w:rPr>
          <w:b w:val="false"/>
          <w:bCs w:val="false"/>
          <w:i/>
          <w:iCs/>
          <w:sz w:val="28"/>
          <w:szCs w:val="28"/>
          <w:rtl w:val="false"/>
          <w:strike w:val="false"/>
          <w:rFonts w:ascii="Times New Roman" w:cs="Times New Roman" w:eastAsia="Times New Roman" w:hAnsi="Times New Roman"/>
        </w:rPr>
        <w:t xml:space="preserve">Digital Marketing</w:t>
      </w:r>
      <w:r>
        <w:rPr>
          <w:b w:val="false"/>
          <w:bCs w:val="false"/>
          <w:i w:val="false"/>
          <w:iCs w:val="false"/>
          <w:sz w:val="28"/>
          <w:szCs w:val="28"/>
          <w:rtl w:val="false"/>
          <w:strike w:val="false"/>
          <w:rFonts w:ascii="Times New Roman" w:cs="Times New Roman" w:eastAsia="Times New Roman" w:hAnsi="Times New Roman"/>
        </w:rPr>
        <w:t xml:space="preserve"> (7th ed.). Pearson.</w:t>
      </w:r>
    </w:p>
    <w:sectPr>
      <w:type w:val="continuous"/>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Simplified Arabic" w:cs="Simplified Arabic" w:eastAsia="Simplified Arabic" w:hAnsi="Simplified Arabic"/>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line="360"/>
    </w:pPr>
    <w:rPr>
      <w:sz w:val="28"/>
      <w:szCs w:val="28"/>
      <w:rFonts w:ascii="Simplified Arabic" w:cs="Simplified Arabic" w:eastAsia="Simplified Arabic" w:hAnsi="Simplified Arabic"/>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2026-05-22T15:14:41.901Z</dcterms:created>
  <dcterms:modified xsi:type="dcterms:W3CDTF">2026-05-22T15:14:41.903Z</dcterms:modified>
</cp:coreProperties>
</file>

<file path=docProps/custom.xml><?xml version="1.0" encoding="utf-8"?>
<Properties xmlns="http://schemas.openxmlformats.org/officeDocument/2006/custom-properties" xmlns:vt="http://schemas.openxmlformats.org/officeDocument/2006/docPropsVTypes"/>
</file>