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6B2D7" w14:textId="77777777" w:rsidR="00DF6C02" w:rsidRDefault="0077618D" w:rsidP="00E06640">
      <w:pPr>
        <w:jc w:val="both"/>
      </w:pPr>
      <w:r>
        <w:t>Total number of patients: 118</w:t>
      </w:r>
    </w:p>
    <w:p w14:paraId="7BF16528" w14:textId="77777777" w:rsidR="00907FA8" w:rsidRDefault="00907FA8" w:rsidP="00E06640">
      <w:pPr>
        <w:jc w:val="both"/>
      </w:pPr>
    </w:p>
    <w:p w14:paraId="76C2AB29" w14:textId="7169DE65" w:rsidR="00907FA8" w:rsidRDefault="00907FA8" w:rsidP="00E06640">
      <w:pPr>
        <w:jc w:val="both"/>
      </w:pPr>
      <w:r w:rsidRPr="0039487A">
        <w:rPr>
          <w:b/>
        </w:rPr>
        <w:t xml:space="preserve">Case 1: </w:t>
      </w:r>
      <w:r w:rsidR="00B75489" w:rsidRPr="0039487A">
        <w:rPr>
          <w:b/>
        </w:rPr>
        <w:t>(a)</w:t>
      </w:r>
      <w:r w:rsidR="003B4374">
        <w:t xml:space="preserve"> </w:t>
      </w:r>
      <w:r>
        <w:t>All patients considered with y=bin(HsTNT) and x=CBC|</w:t>
      </w:r>
      <w:r w:rsidRPr="00907FA8">
        <w:rPr>
          <w:vertAlign w:val="subscript"/>
        </w:rPr>
        <w:t>max HsTNT</w:t>
      </w:r>
      <w:r>
        <w:rPr>
          <w:vertAlign w:val="subscript"/>
        </w:rPr>
        <w:t xml:space="preserve"> </w:t>
      </w:r>
      <w:r>
        <w:t xml:space="preserve">. </w:t>
      </w:r>
    </w:p>
    <w:p w14:paraId="1D052B25" w14:textId="2C92CFB9" w:rsidR="001D6E7E" w:rsidRDefault="001D6E7E" w:rsidP="00E06640">
      <w:pPr>
        <w:jc w:val="both"/>
      </w:pPr>
      <w:r>
        <w:t>The threshold values used to identify heart attacks are 15.4 for female patients and 34.2 for male patients.</w:t>
      </w:r>
    </w:p>
    <w:p w14:paraId="4E2303A6" w14:textId="77777777" w:rsidR="00AF6D71" w:rsidRDefault="00AF6D71" w:rsidP="00E06640">
      <w:pPr>
        <w:jc w:val="both"/>
      </w:pPr>
    </w:p>
    <w:p w14:paraId="358E27AD" w14:textId="5167C5DA" w:rsidR="00E76D8B" w:rsidRDefault="00E76D8B" w:rsidP="00E06640">
      <w:pPr>
        <w:jc w:val="both"/>
      </w:pPr>
      <w:r>
        <w:t>Stepwise regression:</w:t>
      </w:r>
    </w:p>
    <w:p w14:paraId="4296129A" w14:textId="77777777" w:rsidR="00E76D8B" w:rsidRDefault="00E76D8B" w:rsidP="00E06640">
      <w:pPr>
        <w:jc w:val="both"/>
      </w:pPr>
      <w:r>
        <w:t>pval =</w:t>
      </w:r>
    </w:p>
    <w:p w14:paraId="12546EDF" w14:textId="77777777" w:rsidR="00E76D8B" w:rsidRDefault="00E76D8B" w:rsidP="00E06640">
      <w:pPr>
        <w:jc w:val="both"/>
      </w:pPr>
    </w:p>
    <w:p w14:paraId="4C2E1B15" w14:textId="34B8E494" w:rsidR="00E76D8B" w:rsidRDefault="00E76D8B" w:rsidP="00E06640">
      <w:pPr>
        <w:jc w:val="both"/>
      </w:pPr>
      <w:r>
        <w:t xml:space="preserve">    0.0098</w:t>
      </w:r>
      <w:r w:rsidR="00646300">
        <w:t>-WBC</w:t>
      </w:r>
    </w:p>
    <w:p w14:paraId="1FD1C5B4" w14:textId="440A6D0F" w:rsidR="00E76D8B" w:rsidRDefault="00E76D8B" w:rsidP="00E06640">
      <w:pPr>
        <w:jc w:val="both"/>
      </w:pPr>
      <w:r>
        <w:t xml:space="preserve">    0.2758</w:t>
      </w:r>
      <w:r w:rsidR="00676F9E">
        <w:t>-RBCi</w:t>
      </w:r>
    </w:p>
    <w:p w14:paraId="4D9A5265" w14:textId="5F06AF97" w:rsidR="00E76D8B" w:rsidRDefault="00E76D8B" w:rsidP="00E06640">
      <w:pPr>
        <w:jc w:val="both"/>
      </w:pPr>
      <w:r>
        <w:t xml:space="preserve">    0.3020</w:t>
      </w:r>
      <w:r w:rsidR="00676F9E">
        <w:t>-HGB</w:t>
      </w:r>
    </w:p>
    <w:p w14:paraId="3457DBE3" w14:textId="1E8B1736" w:rsidR="00E76D8B" w:rsidRDefault="00E76D8B" w:rsidP="00E06640">
      <w:pPr>
        <w:jc w:val="both"/>
      </w:pPr>
      <w:r>
        <w:t xml:space="preserve">    0.8077</w:t>
      </w:r>
      <w:r w:rsidR="00676F9E">
        <w:t>-MCV</w:t>
      </w:r>
    </w:p>
    <w:p w14:paraId="299B5C39" w14:textId="590646E9" w:rsidR="00E76D8B" w:rsidRDefault="00E76D8B" w:rsidP="00E06640">
      <w:pPr>
        <w:jc w:val="both"/>
      </w:pPr>
      <w:r>
        <w:t xml:space="preserve">    0.6999</w:t>
      </w:r>
      <w:r w:rsidR="00676F9E">
        <w:t>-RDW</w:t>
      </w:r>
    </w:p>
    <w:p w14:paraId="482DB87E" w14:textId="60DB3FBF" w:rsidR="00E76D8B" w:rsidRDefault="00E76D8B" w:rsidP="00E06640">
      <w:pPr>
        <w:jc w:val="both"/>
      </w:pPr>
      <w:r>
        <w:t xml:space="preserve">    0.8021</w:t>
      </w:r>
      <w:r w:rsidR="00676F9E">
        <w:t>-MCH</w:t>
      </w:r>
    </w:p>
    <w:p w14:paraId="1D0BA60C" w14:textId="562959D4" w:rsidR="00E76D8B" w:rsidRDefault="00E76D8B" w:rsidP="00E06640">
      <w:pPr>
        <w:jc w:val="both"/>
      </w:pPr>
      <w:r>
        <w:t xml:space="preserve">    0.7906</w:t>
      </w:r>
      <w:r w:rsidR="00676F9E">
        <w:t>-MCHC</w:t>
      </w:r>
    </w:p>
    <w:p w14:paraId="62EDDFE4" w14:textId="0B67F2E2" w:rsidR="00E76D8B" w:rsidRDefault="00E76D8B" w:rsidP="00E06640">
      <w:pPr>
        <w:jc w:val="both"/>
      </w:pPr>
      <w:r>
        <w:t xml:space="preserve">    0.3223</w:t>
      </w:r>
      <w:r w:rsidR="00676F9E">
        <w:t>-HCT</w:t>
      </w:r>
    </w:p>
    <w:p w14:paraId="5AB31D3F" w14:textId="3425DD08" w:rsidR="00E76D8B" w:rsidRDefault="00E76D8B" w:rsidP="00E06640">
      <w:pPr>
        <w:jc w:val="both"/>
      </w:pPr>
      <w:r>
        <w:t xml:space="preserve">    0.0472</w:t>
      </w:r>
      <w:r w:rsidR="00646300">
        <w:t>-PLT</w:t>
      </w:r>
    </w:p>
    <w:p w14:paraId="2994ED7E" w14:textId="2B9D3886" w:rsidR="00E76D8B" w:rsidRDefault="00E76D8B" w:rsidP="00E06640">
      <w:pPr>
        <w:jc w:val="both"/>
      </w:pPr>
      <w:r>
        <w:t xml:space="preserve">    0.1981</w:t>
      </w:r>
      <w:r w:rsidR="00646300">
        <w:t>-Age</w:t>
      </w:r>
    </w:p>
    <w:p w14:paraId="705624F7" w14:textId="77777777" w:rsidR="00585E03" w:rsidRDefault="00585E03" w:rsidP="00E06640">
      <w:pPr>
        <w:jc w:val="both"/>
      </w:pPr>
    </w:p>
    <w:p w14:paraId="766241E0" w14:textId="32862AE8" w:rsidR="0029102B" w:rsidRDefault="0029102B" w:rsidP="00E06640">
      <w:pPr>
        <w:jc w:val="both"/>
      </w:pPr>
      <w:r>
        <w:t>Discriminant analysis:</w:t>
      </w:r>
    </w:p>
    <w:p w14:paraId="1C10A458" w14:textId="66EB3D8F" w:rsidR="001C1AED" w:rsidRDefault="001C1AED" w:rsidP="00E06640">
      <w:pPr>
        <w:jc w:val="both"/>
      </w:pPr>
      <w:r>
        <w:t xml:space="preserve">Crossvalidation </w:t>
      </w:r>
      <w:r w:rsidR="00532D5F">
        <w:t xml:space="preserve"> mean square </w:t>
      </w:r>
      <w:r>
        <w:t>error=</w:t>
      </w:r>
      <w:r w:rsidRPr="001C1AED">
        <w:t>0.2373</w:t>
      </w:r>
      <w:r w:rsidR="00DB68F9">
        <w:t xml:space="preserve"> (</w:t>
      </w:r>
      <w:r w:rsidR="00E37DD6">
        <w:t xml:space="preserve">stratified </w:t>
      </w:r>
      <w:r w:rsidR="00DB68F9">
        <w:t>10 fold crossvalidation used</w:t>
      </w:r>
      <w:r w:rsidR="00984DDA">
        <w:t>-incorrectly classified/correctly classified</w:t>
      </w:r>
      <w:r w:rsidR="00DB68F9">
        <w:t>)</w:t>
      </w:r>
    </w:p>
    <w:p w14:paraId="1593C9FA" w14:textId="77777777" w:rsidR="0022240C" w:rsidRDefault="0022240C" w:rsidP="00E06640">
      <w:pPr>
        <w:jc w:val="both"/>
      </w:pPr>
    </w:p>
    <w:p w14:paraId="61B848D8" w14:textId="33DBD843" w:rsidR="0022240C" w:rsidRDefault="0022240C" w:rsidP="00E06640">
      <w:pPr>
        <w:jc w:val="both"/>
      </w:pPr>
      <w:r>
        <w:t>Using Logistic regression from MATLAB (glmfit)</w:t>
      </w:r>
    </w:p>
    <w:p w14:paraId="75CF7C2E" w14:textId="6AFF27FD" w:rsidR="0022240C" w:rsidRDefault="0022240C" w:rsidP="00E06640">
      <w:pPr>
        <w:jc w:val="both"/>
      </w:pPr>
      <w:r>
        <w:t xml:space="preserve">The confusion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350"/>
      </w:tblGrid>
      <w:tr w:rsidR="00541BAB" w14:paraId="6CB792FF" w14:textId="77777777" w:rsidTr="00541BAB">
        <w:tc>
          <w:tcPr>
            <w:tcW w:w="1818" w:type="dxa"/>
          </w:tcPr>
          <w:p w14:paraId="49FADFDA" w14:textId="28F657E9" w:rsidR="003530E2" w:rsidRDefault="003530E2" w:rsidP="00E06640">
            <w:pPr>
              <w:jc w:val="both"/>
            </w:pPr>
            <w:r>
              <w:t>(0,0)</w:t>
            </w:r>
            <w:r w:rsidR="00810AA2">
              <w:t xml:space="preserve"> 11</w:t>
            </w:r>
          </w:p>
        </w:tc>
        <w:tc>
          <w:tcPr>
            <w:tcW w:w="1350" w:type="dxa"/>
          </w:tcPr>
          <w:p w14:paraId="386A9A8B" w14:textId="7E997EDE" w:rsidR="003530E2" w:rsidRDefault="003530E2" w:rsidP="00E06640">
            <w:pPr>
              <w:jc w:val="both"/>
            </w:pPr>
            <w:r>
              <w:t>(0,1)</w:t>
            </w:r>
            <w:r w:rsidR="00810AA2">
              <w:t xml:space="preserve"> 8 </w:t>
            </w:r>
          </w:p>
        </w:tc>
      </w:tr>
      <w:tr w:rsidR="00541BAB" w14:paraId="4ED8C930" w14:textId="77777777" w:rsidTr="00541BAB">
        <w:tc>
          <w:tcPr>
            <w:tcW w:w="1818" w:type="dxa"/>
          </w:tcPr>
          <w:p w14:paraId="598F2BEF" w14:textId="0D9740B1" w:rsidR="003530E2" w:rsidRDefault="003530E2" w:rsidP="00E06640">
            <w:pPr>
              <w:jc w:val="both"/>
            </w:pPr>
            <w:r>
              <w:t>(1,0)</w:t>
            </w:r>
            <w:r w:rsidR="00810AA2">
              <w:t xml:space="preserve"> 13</w:t>
            </w:r>
          </w:p>
        </w:tc>
        <w:tc>
          <w:tcPr>
            <w:tcW w:w="1350" w:type="dxa"/>
          </w:tcPr>
          <w:p w14:paraId="64954DDB" w14:textId="61A5102B" w:rsidR="003530E2" w:rsidRDefault="003530E2" w:rsidP="00E06640">
            <w:pPr>
              <w:jc w:val="both"/>
            </w:pPr>
            <w:r>
              <w:t>(1,1)</w:t>
            </w:r>
            <w:r w:rsidR="00810AA2">
              <w:t xml:space="preserve"> 63 </w:t>
            </w:r>
          </w:p>
        </w:tc>
      </w:tr>
    </w:tbl>
    <w:p w14:paraId="00A82C7F" w14:textId="4EBFAE9F" w:rsidR="0022240C" w:rsidRDefault="0022240C" w:rsidP="00E06640">
      <w:pPr>
        <w:jc w:val="both"/>
      </w:pPr>
      <w:r>
        <w:t>This is considering the cut-off probability as 0.7.</w:t>
      </w:r>
    </w:p>
    <w:p w14:paraId="4212CF9A" w14:textId="77777777" w:rsidR="00B75489" w:rsidRDefault="00B75489" w:rsidP="00E06640">
      <w:pPr>
        <w:jc w:val="both"/>
      </w:pPr>
    </w:p>
    <w:p w14:paraId="66B32B7F" w14:textId="3108D8A4" w:rsidR="00B75489" w:rsidRDefault="00DE06B0" w:rsidP="00E06640">
      <w:pPr>
        <w:jc w:val="both"/>
      </w:pPr>
      <w:r w:rsidRPr="0039487A">
        <w:rPr>
          <w:b/>
        </w:rPr>
        <w:t>(b)</w:t>
      </w:r>
      <w:r w:rsidR="00833A27">
        <w:t xml:space="preserve"> </w:t>
      </w:r>
      <w:r w:rsidR="00236B34">
        <w:t>y=HsTNT and x=CBC|</w:t>
      </w:r>
      <w:r w:rsidR="00236B34" w:rsidRPr="00907FA8">
        <w:rPr>
          <w:vertAlign w:val="subscript"/>
        </w:rPr>
        <w:t>max HsTNT</w:t>
      </w:r>
      <w:r w:rsidR="00236B34">
        <w:rPr>
          <w:vertAlign w:val="subscript"/>
        </w:rPr>
        <w:t xml:space="preserve"> </w:t>
      </w:r>
      <w:r w:rsidR="00236B34">
        <w:t>. The continuous values for HsTNT are taken as the response variable</w:t>
      </w:r>
    </w:p>
    <w:p w14:paraId="585E3D42" w14:textId="3260EFA9" w:rsidR="00A33BCC" w:rsidRDefault="00A33BCC" w:rsidP="00E06640">
      <w:pPr>
        <w:jc w:val="both"/>
      </w:pPr>
      <w:r>
        <w:t>Stepwise regression:</w:t>
      </w:r>
    </w:p>
    <w:p w14:paraId="5C076689" w14:textId="77777777" w:rsidR="00D42711" w:rsidRDefault="00D42711" w:rsidP="00E06640">
      <w:pPr>
        <w:jc w:val="both"/>
      </w:pPr>
      <w:r>
        <w:t>pvalc =</w:t>
      </w:r>
    </w:p>
    <w:p w14:paraId="22F57D3F" w14:textId="77777777" w:rsidR="00D42711" w:rsidRDefault="00D42711" w:rsidP="00E06640">
      <w:pPr>
        <w:jc w:val="both"/>
      </w:pPr>
    </w:p>
    <w:p w14:paraId="3ED2ADCF" w14:textId="77777777" w:rsidR="00D42711" w:rsidRDefault="00D42711" w:rsidP="00E06640">
      <w:pPr>
        <w:jc w:val="both"/>
      </w:pPr>
      <w:r>
        <w:t xml:space="preserve">    0.0019</w:t>
      </w:r>
    </w:p>
    <w:p w14:paraId="3362A276" w14:textId="77777777" w:rsidR="00D42711" w:rsidRDefault="00D42711" w:rsidP="00E06640">
      <w:pPr>
        <w:jc w:val="both"/>
      </w:pPr>
      <w:r>
        <w:t xml:space="preserve">    0.9435</w:t>
      </w:r>
    </w:p>
    <w:p w14:paraId="69FF4E8C" w14:textId="77777777" w:rsidR="00D42711" w:rsidRDefault="00D42711" w:rsidP="00E06640">
      <w:pPr>
        <w:jc w:val="both"/>
      </w:pPr>
      <w:r>
        <w:t xml:space="preserve">    0.9342</w:t>
      </w:r>
    </w:p>
    <w:p w14:paraId="02754E38" w14:textId="77777777" w:rsidR="00D42711" w:rsidRDefault="00D42711" w:rsidP="00E06640">
      <w:pPr>
        <w:jc w:val="both"/>
      </w:pPr>
      <w:r>
        <w:t xml:space="preserve">    0.8858</w:t>
      </w:r>
    </w:p>
    <w:p w14:paraId="69466966" w14:textId="77777777" w:rsidR="00D42711" w:rsidRDefault="00D42711" w:rsidP="00E06640">
      <w:pPr>
        <w:jc w:val="both"/>
      </w:pPr>
      <w:r>
        <w:t xml:space="preserve">    0.7312</w:t>
      </w:r>
    </w:p>
    <w:p w14:paraId="4D464A98" w14:textId="77777777" w:rsidR="00D42711" w:rsidRDefault="00D42711" w:rsidP="00E06640">
      <w:pPr>
        <w:jc w:val="both"/>
      </w:pPr>
      <w:r>
        <w:t xml:space="preserve">    0.8748</w:t>
      </w:r>
    </w:p>
    <w:p w14:paraId="1CA88037" w14:textId="77777777" w:rsidR="00D42711" w:rsidRDefault="00D42711" w:rsidP="00E06640">
      <w:pPr>
        <w:jc w:val="both"/>
      </w:pPr>
      <w:r>
        <w:t xml:space="preserve">    0.8811</w:t>
      </w:r>
    </w:p>
    <w:p w14:paraId="074B6D0A" w14:textId="77777777" w:rsidR="00D42711" w:rsidRDefault="00D42711" w:rsidP="00E06640">
      <w:pPr>
        <w:jc w:val="both"/>
      </w:pPr>
      <w:r>
        <w:t xml:space="preserve">    0.9783</w:t>
      </w:r>
    </w:p>
    <w:p w14:paraId="73A2CECE" w14:textId="77777777" w:rsidR="00D42711" w:rsidRDefault="00D42711" w:rsidP="00E06640">
      <w:pPr>
        <w:jc w:val="both"/>
      </w:pPr>
      <w:r>
        <w:t xml:space="preserve">    0.0149</w:t>
      </w:r>
    </w:p>
    <w:p w14:paraId="7CC3F773" w14:textId="47E49B30" w:rsidR="00D42711" w:rsidRDefault="00D42711" w:rsidP="00E06640">
      <w:pPr>
        <w:jc w:val="both"/>
      </w:pPr>
      <w:r>
        <w:t xml:space="preserve">    0.6284</w:t>
      </w:r>
    </w:p>
    <w:p w14:paraId="348C5F8E" w14:textId="77777777" w:rsidR="00E22723" w:rsidRDefault="00F97347" w:rsidP="00E06640">
      <w:pPr>
        <w:jc w:val="both"/>
      </w:pPr>
      <w:r>
        <w:lastRenderedPageBreak/>
        <w:t>This is ignoring all patients who have their maximum of the HsTNT measurement above 2000</w:t>
      </w:r>
      <w:r w:rsidR="005723AB">
        <w:t xml:space="preserve">. </w:t>
      </w:r>
    </w:p>
    <w:p w14:paraId="1501F955" w14:textId="09DFBD04" w:rsidR="008E5FDB" w:rsidRDefault="00AA28D2" w:rsidP="00E06640">
      <w:pPr>
        <w:jc w:val="both"/>
      </w:pPr>
      <w:r>
        <w:t>RMSE=</w:t>
      </w:r>
      <w:r w:rsidR="00B7581E" w:rsidRPr="00B7581E">
        <w:t>3.461228287493799e+02</w:t>
      </w:r>
    </w:p>
    <w:p w14:paraId="4AE8709C" w14:textId="77777777" w:rsidR="00E22723" w:rsidRDefault="00E22723" w:rsidP="00E06640">
      <w:pPr>
        <w:jc w:val="both"/>
      </w:pPr>
    </w:p>
    <w:p w14:paraId="516EE846" w14:textId="3641C82A" w:rsidR="00E22723" w:rsidRDefault="00E22723" w:rsidP="00E06640">
      <w:pPr>
        <w:jc w:val="both"/>
      </w:pPr>
      <w:r>
        <w:rPr>
          <w:noProof/>
        </w:rPr>
        <w:drawing>
          <wp:inline distT="0" distB="0" distL="0" distR="0" wp14:anchorId="1366CD68" wp14:editId="1431F0B0">
            <wp:extent cx="2632417" cy="21331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3890" r="6797" b="-1"/>
                    <a:stretch/>
                  </pic:blipFill>
                  <pic:spPr bwMode="auto">
                    <a:xfrm>
                      <a:off x="0" y="0"/>
                      <a:ext cx="2635160" cy="213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65A5" w:rsidRPr="000265A5">
        <w:drawing>
          <wp:inline distT="0" distB="0" distL="0" distR="0" wp14:anchorId="14A8C622" wp14:editId="103817A8">
            <wp:extent cx="2626869" cy="209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7" t="4621" r="5418"/>
                    <a:stretch/>
                  </pic:blipFill>
                  <pic:spPr bwMode="auto">
                    <a:xfrm>
                      <a:off x="0" y="0"/>
                      <a:ext cx="2629274" cy="209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E5BF8" w14:textId="4DF7CB5F" w:rsidR="008877A5" w:rsidRDefault="008877A5" w:rsidP="00E06640">
      <w:pPr>
        <w:jc w:val="both"/>
      </w:pPr>
    </w:p>
    <w:p w14:paraId="5234DF7F" w14:textId="77777777" w:rsidR="00E22723" w:rsidRDefault="00E22723" w:rsidP="00E06640">
      <w:pPr>
        <w:jc w:val="both"/>
      </w:pPr>
    </w:p>
    <w:p w14:paraId="39ED694C" w14:textId="77777777" w:rsidR="00A352BC" w:rsidRDefault="005723AB" w:rsidP="00E06640">
      <w:pPr>
        <w:jc w:val="both"/>
      </w:pPr>
      <w:r>
        <w:t xml:space="preserve">When </w:t>
      </w:r>
      <w:r w:rsidR="00A43F08">
        <w:t>this exclusion is not made, the predictions are pull toward a very high value (~5e4)</w:t>
      </w:r>
      <w:r w:rsidR="00A44792">
        <w:t>. However, even in that case, the important predictors as WBC and PLT.</w:t>
      </w:r>
    </w:p>
    <w:p w14:paraId="7B6C9CA6" w14:textId="77777777" w:rsidR="002D52E2" w:rsidRDefault="00A352BC" w:rsidP="00E06640">
      <w:pPr>
        <w:jc w:val="both"/>
      </w:pPr>
      <w:r>
        <w:t>However, when patients with HsTNT&gt;500 are excluded, the only crucial parameter is WBC</w:t>
      </w:r>
      <w:r w:rsidR="002D52E2">
        <w:t xml:space="preserve"> through the stepwise regression</w:t>
      </w:r>
    </w:p>
    <w:p w14:paraId="44248253" w14:textId="77777777" w:rsidR="002D52E2" w:rsidRDefault="002D52E2" w:rsidP="00E06640">
      <w:pPr>
        <w:jc w:val="both"/>
      </w:pPr>
      <w:r>
        <w:t>pvalc =</w:t>
      </w:r>
    </w:p>
    <w:p w14:paraId="47A8844A" w14:textId="77777777" w:rsidR="002D52E2" w:rsidRDefault="002D52E2" w:rsidP="00E06640">
      <w:pPr>
        <w:jc w:val="both"/>
      </w:pPr>
    </w:p>
    <w:p w14:paraId="26E7F86E" w14:textId="77777777" w:rsidR="002D52E2" w:rsidRDefault="002D52E2" w:rsidP="00E06640">
      <w:pPr>
        <w:jc w:val="both"/>
      </w:pPr>
      <w:r>
        <w:t xml:space="preserve">    0.0107</w:t>
      </w:r>
    </w:p>
    <w:p w14:paraId="2C325CDE" w14:textId="77777777" w:rsidR="002D52E2" w:rsidRDefault="002D52E2" w:rsidP="00E06640">
      <w:pPr>
        <w:jc w:val="both"/>
      </w:pPr>
      <w:r>
        <w:t xml:space="preserve">    0.9751</w:t>
      </w:r>
    </w:p>
    <w:p w14:paraId="23218060" w14:textId="77777777" w:rsidR="002D52E2" w:rsidRDefault="002D52E2" w:rsidP="00E06640">
      <w:pPr>
        <w:jc w:val="both"/>
      </w:pPr>
      <w:r>
        <w:t xml:space="preserve">    0.9821</w:t>
      </w:r>
    </w:p>
    <w:p w14:paraId="5746A08A" w14:textId="77777777" w:rsidR="002D52E2" w:rsidRDefault="002D52E2" w:rsidP="00E06640">
      <w:pPr>
        <w:jc w:val="both"/>
      </w:pPr>
      <w:r>
        <w:t xml:space="preserve">    0.5046</w:t>
      </w:r>
    </w:p>
    <w:p w14:paraId="4B89BAC7" w14:textId="77777777" w:rsidR="002D52E2" w:rsidRDefault="002D52E2" w:rsidP="00E06640">
      <w:pPr>
        <w:jc w:val="both"/>
      </w:pPr>
      <w:r>
        <w:t xml:space="preserve">    0.3486</w:t>
      </w:r>
    </w:p>
    <w:p w14:paraId="7DCF4CAA" w14:textId="77777777" w:rsidR="002D52E2" w:rsidRDefault="002D52E2" w:rsidP="00E06640">
      <w:pPr>
        <w:jc w:val="both"/>
      </w:pPr>
      <w:r>
        <w:t xml:space="preserve">    0.7580</w:t>
      </w:r>
    </w:p>
    <w:p w14:paraId="14BD16F0" w14:textId="77777777" w:rsidR="002D52E2" w:rsidRDefault="002D52E2" w:rsidP="00E06640">
      <w:pPr>
        <w:jc w:val="both"/>
      </w:pPr>
      <w:r>
        <w:t xml:space="preserve">    0.2940</w:t>
      </w:r>
    </w:p>
    <w:p w14:paraId="3525AE5C" w14:textId="77777777" w:rsidR="002D52E2" w:rsidRDefault="002D52E2" w:rsidP="00E06640">
      <w:pPr>
        <w:jc w:val="both"/>
      </w:pPr>
      <w:r>
        <w:t xml:space="preserve">    0.9320</w:t>
      </w:r>
    </w:p>
    <w:p w14:paraId="019EC99B" w14:textId="77777777" w:rsidR="002D52E2" w:rsidRDefault="002D52E2" w:rsidP="00E06640">
      <w:pPr>
        <w:jc w:val="both"/>
      </w:pPr>
      <w:r>
        <w:t xml:space="preserve">    0.0961</w:t>
      </w:r>
    </w:p>
    <w:p w14:paraId="3C4866BF" w14:textId="43A8EC0A" w:rsidR="00F97347" w:rsidRDefault="002D52E2" w:rsidP="00E06640">
      <w:pPr>
        <w:jc w:val="both"/>
      </w:pPr>
      <w:r>
        <w:t xml:space="preserve">    0.3495</w:t>
      </w:r>
      <w:r w:rsidR="005723AB">
        <w:t xml:space="preserve"> </w:t>
      </w:r>
    </w:p>
    <w:p w14:paraId="7A1EA152" w14:textId="77777777" w:rsidR="001A2559" w:rsidRDefault="001A2559" w:rsidP="00E06640">
      <w:pPr>
        <w:jc w:val="both"/>
      </w:pPr>
    </w:p>
    <w:p w14:paraId="4FB665C7" w14:textId="77777777" w:rsidR="001A2559" w:rsidRDefault="001A2559" w:rsidP="00E06640">
      <w:pPr>
        <w:jc w:val="both"/>
      </w:pPr>
      <w:r>
        <w:t>“Step 1, added column 1, p=0.0106849</w:t>
      </w:r>
    </w:p>
    <w:p w14:paraId="041FAF18" w14:textId="17631A0F" w:rsidR="001A2559" w:rsidRDefault="001A2559" w:rsidP="00E06640">
      <w:pPr>
        <w:jc w:val="both"/>
      </w:pPr>
      <w:r>
        <w:t>Final columns included:  1”</w:t>
      </w:r>
    </w:p>
    <w:p w14:paraId="4D7E7E19" w14:textId="77777777" w:rsidR="0027092E" w:rsidRDefault="0027092E" w:rsidP="00E06640">
      <w:pPr>
        <w:jc w:val="both"/>
      </w:pPr>
    </w:p>
    <w:p w14:paraId="08B869CA" w14:textId="30A14A51" w:rsidR="0027092E" w:rsidRDefault="0027092E" w:rsidP="00E06640">
      <w:pPr>
        <w:jc w:val="both"/>
      </w:pPr>
      <w:r>
        <w:t>A log transformation was made for HsTNT to reduce the variation in HsTNT due to some extreme measurements (5e4)</w:t>
      </w:r>
    </w:p>
    <w:p w14:paraId="147BF578" w14:textId="56A87126" w:rsidR="00E72610" w:rsidRDefault="00E72610" w:rsidP="00E06640">
      <w:pPr>
        <w:jc w:val="both"/>
      </w:pPr>
      <w:r>
        <w:t>In this case, the significant term was WBC</w:t>
      </w:r>
      <w:r w:rsidR="00403329">
        <w:t>, according to stepwise</w:t>
      </w:r>
    </w:p>
    <w:p w14:paraId="7284C173" w14:textId="30572ABC" w:rsidR="00E72610" w:rsidRDefault="00E72610" w:rsidP="00E06640">
      <w:pPr>
        <w:jc w:val="both"/>
      </w:pPr>
      <w:r w:rsidRPr="00E72610">
        <w:t>Adding x1, FStat = 6.3192, pValue = 0.014003</w:t>
      </w:r>
    </w:p>
    <w:p w14:paraId="25BF22A8" w14:textId="38F0D3F9" w:rsidR="0027092E" w:rsidRDefault="00910CD4" w:rsidP="00E06640">
      <w:pPr>
        <w:jc w:val="both"/>
      </w:pPr>
      <w:r>
        <w:rPr>
          <w:noProof/>
        </w:rPr>
        <w:drawing>
          <wp:inline distT="0" distB="0" distL="0" distR="0" wp14:anchorId="4441ADC9" wp14:editId="50607D1C">
            <wp:extent cx="3889717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45" cy="2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A892" w14:textId="77777777" w:rsidR="002F2565" w:rsidRDefault="002F2565" w:rsidP="00E06640">
      <w:pPr>
        <w:jc w:val="both"/>
      </w:pPr>
    </w:p>
    <w:p w14:paraId="67CC2468" w14:textId="330611EA" w:rsidR="00E50C23" w:rsidRDefault="00E50C23" w:rsidP="00E06640">
      <w:pPr>
        <w:jc w:val="both"/>
      </w:pPr>
      <w:r w:rsidRPr="0039487A">
        <w:rPr>
          <w:b/>
        </w:rPr>
        <w:t>c)</w:t>
      </w:r>
      <w:r>
        <w:t xml:space="preserve"> </w:t>
      </w:r>
      <w:r>
        <w:t>y=bin(HsTNT) and x=CBC|</w:t>
      </w:r>
      <w:r w:rsidR="00D1345C">
        <w:t>t=</w:t>
      </w:r>
      <w:r>
        <w:rPr>
          <w:vertAlign w:val="subscript"/>
        </w:rPr>
        <w:t>0</w:t>
      </w:r>
    </w:p>
    <w:p w14:paraId="1D9D8978" w14:textId="77777777" w:rsidR="00E50C23" w:rsidRDefault="00E50C23" w:rsidP="00E06640">
      <w:pPr>
        <w:jc w:val="both"/>
      </w:pPr>
    </w:p>
    <w:p w14:paraId="322AD732" w14:textId="308E6BD0" w:rsidR="00927A86" w:rsidRDefault="00927A86" w:rsidP="00E06640">
      <w:pPr>
        <w:jc w:val="both"/>
      </w:pPr>
      <w:r>
        <w:t>Using stepwise regression, the significant variables are still WBC and PLT</w:t>
      </w:r>
    </w:p>
    <w:p w14:paraId="00533CFD" w14:textId="77777777" w:rsidR="00E50C23" w:rsidRDefault="00E50C23" w:rsidP="00E06640">
      <w:pPr>
        <w:jc w:val="both"/>
      </w:pPr>
      <w:r>
        <w:t>pval =</w:t>
      </w:r>
    </w:p>
    <w:p w14:paraId="1457777A" w14:textId="77777777" w:rsidR="00E50C23" w:rsidRDefault="00E50C23" w:rsidP="00E06640">
      <w:pPr>
        <w:jc w:val="both"/>
      </w:pPr>
    </w:p>
    <w:p w14:paraId="7A8F3452" w14:textId="77777777" w:rsidR="00E50C23" w:rsidRDefault="00E50C23" w:rsidP="00E06640">
      <w:pPr>
        <w:jc w:val="both"/>
      </w:pPr>
      <w:r>
        <w:t xml:space="preserve">    0.0032</w:t>
      </w:r>
    </w:p>
    <w:p w14:paraId="62D7346A" w14:textId="77777777" w:rsidR="00E50C23" w:rsidRDefault="00E50C23" w:rsidP="00E06640">
      <w:pPr>
        <w:jc w:val="both"/>
      </w:pPr>
      <w:r>
        <w:t xml:space="preserve">    0.8057</w:t>
      </w:r>
    </w:p>
    <w:p w14:paraId="7502B7DF" w14:textId="77777777" w:rsidR="00E50C23" w:rsidRDefault="00E50C23" w:rsidP="00E06640">
      <w:pPr>
        <w:jc w:val="both"/>
      </w:pPr>
      <w:r>
        <w:t xml:space="preserve">    0.8508</w:t>
      </w:r>
    </w:p>
    <w:p w14:paraId="0454DF66" w14:textId="77777777" w:rsidR="00E50C23" w:rsidRDefault="00E50C23" w:rsidP="00E06640">
      <w:pPr>
        <w:jc w:val="both"/>
      </w:pPr>
      <w:r>
        <w:t xml:space="preserve">    0.8617</w:t>
      </w:r>
    </w:p>
    <w:p w14:paraId="470B096C" w14:textId="77777777" w:rsidR="00E50C23" w:rsidRDefault="00E50C23" w:rsidP="00E06640">
      <w:pPr>
        <w:jc w:val="both"/>
      </w:pPr>
      <w:r>
        <w:t xml:space="preserve">    0.5576</w:t>
      </w:r>
    </w:p>
    <w:p w14:paraId="0D754503" w14:textId="77777777" w:rsidR="00E50C23" w:rsidRDefault="00E50C23" w:rsidP="00E06640">
      <w:pPr>
        <w:jc w:val="both"/>
      </w:pPr>
      <w:r>
        <w:t xml:space="preserve">    0.8668</w:t>
      </w:r>
    </w:p>
    <w:p w14:paraId="66E53038" w14:textId="77777777" w:rsidR="00E50C23" w:rsidRDefault="00E50C23" w:rsidP="00E06640">
      <w:pPr>
        <w:jc w:val="both"/>
      </w:pPr>
      <w:r>
        <w:t xml:space="preserve">    0.8683</w:t>
      </w:r>
    </w:p>
    <w:p w14:paraId="0177D407" w14:textId="77777777" w:rsidR="00E50C23" w:rsidRDefault="00E50C23" w:rsidP="00E06640">
      <w:pPr>
        <w:jc w:val="both"/>
      </w:pPr>
      <w:r>
        <w:t xml:space="preserve">    0.8793</w:t>
      </w:r>
    </w:p>
    <w:p w14:paraId="6D0DB16F" w14:textId="77777777" w:rsidR="00E50C23" w:rsidRDefault="00E50C23" w:rsidP="00E06640">
      <w:pPr>
        <w:jc w:val="both"/>
      </w:pPr>
      <w:r>
        <w:t xml:space="preserve">    0.0350</w:t>
      </w:r>
    </w:p>
    <w:p w14:paraId="48C28B2F" w14:textId="415CE590" w:rsidR="00E50C23" w:rsidRDefault="00E50C23" w:rsidP="00E06640">
      <w:pPr>
        <w:jc w:val="both"/>
      </w:pPr>
      <w:r>
        <w:t xml:space="preserve">    0.1216</w:t>
      </w:r>
    </w:p>
    <w:p w14:paraId="727A3CEF" w14:textId="77777777" w:rsidR="00524A90" w:rsidRDefault="00524A90" w:rsidP="00E06640">
      <w:pPr>
        <w:jc w:val="both"/>
      </w:pPr>
      <w:r>
        <w:t>Discriminant analysis:</w:t>
      </w:r>
    </w:p>
    <w:p w14:paraId="56809442" w14:textId="28F98111" w:rsidR="00524A90" w:rsidRDefault="00524A90" w:rsidP="00E06640">
      <w:pPr>
        <w:jc w:val="both"/>
      </w:pPr>
      <w:r>
        <w:t>Crossvalidation  mean square error=</w:t>
      </w:r>
      <w:r w:rsidR="00CE49F7" w:rsidRPr="00CE49F7">
        <w:t xml:space="preserve"> 0.2627 </w:t>
      </w:r>
      <w:r>
        <w:t>(stratified 10 fold crossvalidation used-incorrectly classified/correctly classified)</w:t>
      </w:r>
    </w:p>
    <w:p w14:paraId="2E87DB15" w14:textId="77777777" w:rsidR="002F2565" w:rsidRDefault="002F2565" w:rsidP="00E06640">
      <w:pPr>
        <w:jc w:val="both"/>
      </w:pPr>
    </w:p>
    <w:p w14:paraId="3E9E34CA" w14:textId="77777777" w:rsidR="00991DC6" w:rsidRDefault="00991DC6" w:rsidP="00E06640">
      <w:pPr>
        <w:jc w:val="both"/>
      </w:pPr>
      <w:r>
        <w:t>Using Logistic regression from MATLAB (glmfit)</w:t>
      </w:r>
    </w:p>
    <w:p w14:paraId="565BEE8A" w14:textId="77777777" w:rsidR="00991DC6" w:rsidRDefault="00991DC6" w:rsidP="00E06640">
      <w:pPr>
        <w:jc w:val="both"/>
      </w:pPr>
      <w:r>
        <w:t xml:space="preserve">The confusion matrix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350"/>
      </w:tblGrid>
      <w:tr w:rsidR="00991DC6" w14:paraId="2E325BC0" w14:textId="77777777" w:rsidTr="004F005F">
        <w:tc>
          <w:tcPr>
            <w:tcW w:w="1818" w:type="dxa"/>
          </w:tcPr>
          <w:p w14:paraId="1FDB1713" w14:textId="1283A7B0" w:rsidR="00991DC6" w:rsidRDefault="00991DC6" w:rsidP="00E06640">
            <w:pPr>
              <w:jc w:val="both"/>
            </w:pPr>
            <w:r>
              <w:t>(0,0) 1</w:t>
            </w:r>
            <w:r w:rsidR="009A34DC">
              <w:t>3</w:t>
            </w:r>
          </w:p>
        </w:tc>
        <w:tc>
          <w:tcPr>
            <w:tcW w:w="1350" w:type="dxa"/>
          </w:tcPr>
          <w:p w14:paraId="3310FFCE" w14:textId="4AB7376C" w:rsidR="00991DC6" w:rsidRDefault="00991DC6" w:rsidP="00E06640">
            <w:pPr>
              <w:jc w:val="both"/>
            </w:pPr>
            <w:r>
              <w:t>(0,1)</w:t>
            </w:r>
            <w:r w:rsidR="009A34DC">
              <w:t xml:space="preserve"> 6</w:t>
            </w:r>
          </w:p>
        </w:tc>
      </w:tr>
      <w:tr w:rsidR="00991DC6" w14:paraId="43AB7E2F" w14:textId="77777777" w:rsidTr="004F005F">
        <w:tc>
          <w:tcPr>
            <w:tcW w:w="1818" w:type="dxa"/>
          </w:tcPr>
          <w:p w14:paraId="5CF6AD64" w14:textId="6CA0F9F3" w:rsidR="00991DC6" w:rsidRDefault="00991DC6" w:rsidP="00E06640">
            <w:pPr>
              <w:jc w:val="both"/>
            </w:pPr>
            <w:r>
              <w:t xml:space="preserve">(1,0) </w:t>
            </w:r>
            <w:r w:rsidR="009A34DC">
              <w:t>9</w:t>
            </w:r>
          </w:p>
        </w:tc>
        <w:tc>
          <w:tcPr>
            <w:tcW w:w="1350" w:type="dxa"/>
          </w:tcPr>
          <w:p w14:paraId="7E66AA98" w14:textId="0F14F68C" w:rsidR="00991DC6" w:rsidRDefault="00991DC6" w:rsidP="00E06640">
            <w:pPr>
              <w:jc w:val="both"/>
            </w:pPr>
            <w:r>
              <w:t>(1,1)</w:t>
            </w:r>
            <w:r w:rsidR="009A34DC">
              <w:t xml:space="preserve"> 67</w:t>
            </w:r>
          </w:p>
        </w:tc>
      </w:tr>
    </w:tbl>
    <w:p w14:paraId="25149962" w14:textId="77777777" w:rsidR="00991DC6" w:rsidRDefault="00991DC6" w:rsidP="00E06640">
      <w:pPr>
        <w:jc w:val="both"/>
      </w:pPr>
      <w:r>
        <w:t>This is considering the cut-off probability as 0.7.</w:t>
      </w:r>
    </w:p>
    <w:p w14:paraId="01A8B308" w14:textId="77777777" w:rsidR="0002280F" w:rsidRDefault="0002280F" w:rsidP="00E06640">
      <w:pPr>
        <w:jc w:val="both"/>
      </w:pPr>
    </w:p>
    <w:p w14:paraId="3FE8FE04" w14:textId="77777777" w:rsidR="0002280F" w:rsidRDefault="0002280F" w:rsidP="00E06640">
      <w:pPr>
        <w:jc w:val="both"/>
      </w:pPr>
    </w:p>
    <w:p w14:paraId="6865BD90" w14:textId="77777777" w:rsidR="0002280F" w:rsidRDefault="0002280F" w:rsidP="00E06640">
      <w:pPr>
        <w:jc w:val="both"/>
      </w:pPr>
    </w:p>
    <w:p w14:paraId="22262803" w14:textId="77777777" w:rsidR="0002280F" w:rsidRDefault="0002280F" w:rsidP="00E06640">
      <w:pPr>
        <w:jc w:val="both"/>
      </w:pPr>
    </w:p>
    <w:p w14:paraId="07034739" w14:textId="777AEDDA" w:rsidR="002F2565" w:rsidRDefault="008346EB" w:rsidP="00E06640">
      <w:pPr>
        <w:jc w:val="both"/>
      </w:pPr>
      <w:r>
        <w:t>For the test set, considering the same probability</w:t>
      </w:r>
    </w:p>
    <w:p w14:paraId="117FBB34" w14:textId="77777777" w:rsidR="008346EB" w:rsidRDefault="008346EB" w:rsidP="00E06640">
      <w:pPr>
        <w:jc w:val="both"/>
      </w:pPr>
      <w:r>
        <w:t>Ctest =</w:t>
      </w:r>
    </w:p>
    <w:p w14:paraId="6C3D7DEC" w14:textId="77777777" w:rsidR="008346EB" w:rsidRDefault="008346EB" w:rsidP="00E06640">
      <w:pPr>
        <w:jc w:val="both"/>
      </w:pPr>
    </w:p>
    <w:p w14:paraId="0E14C43E" w14:textId="77777777" w:rsidR="008346EB" w:rsidRDefault="008346EB" w:rsidP="00E06640">
      <w:pPr>
        <w:jc w:val="both"/>
      </w:pPr>
      <w:r>
        <w:t xml:space="preserve">     0     4</w:t>
      </w:r>
    </w:p>
    <w:p w14:paraId="724FB90C" w14:textId="4DB93B97" w:rsidR="008346EB" w:rsidRDefault="008346EB" w:rsidP="00E06640">
      <w:pPr>
        <w:jc w:val="both"/>
      </w:pPr>
      <w:r>
        <w:t xml:space="preserve">     6    13</w:t>
      </w:r>
    </w:p>
    <w:p w14:paraId="079281B1" w14:textId="77777777" w:rsidR="007B3ABC" w:rsidRDefault="007B3ABC" w:rsidP="00E06640">
      <w:pPr>
        <w:jc w:val="both"/>
      </w:pPr>
    </w:p>
    <w:p w14:paraId="2FFF8791" w14:textId="0160A034" w:rsidR="007B3ABC" w:rsidRDefault="007B3ABC" w:rsidP="00E06640">
      <w:pPr>
        <w:jc w:val="both"/>
      </w:pPr>
      <w:r>
        <w:t xml:space="preserve">d) </w:t>
      </w:r>
      <w:r>
        <w:t>y=HsTNT and x=CBC|</w:t>
      </w:r>
      <w:r w:rsidR="00F046F8">
        <w:rPr>
          <w:vertAlign w:val="subscript"/>
        </w:rPr>
        <w:t>t=0</w:t>
      </w:r>
      <w:r>
        <w:rPr>
          <w:vertAlign w:val="subscript"/>
        </w:rPr>
        <w:t xml:space="preserve"> </w:t>
      </w:r>
      <w:r>
        <w:t>. The continuous values for HsTNT are taken as the response variable</w:t>
      </w:r>
    </w:p>
    <w:p w14:paraId="7900928D" w14:textId="77777777" w:rsidR="007B3ABC" w:rsidRDefault="007B3ABC" w:rsidP="00E06640">
      <w:pPr>
        <w:jc w:val="both"/>
      </w:pPr>
      <w:r>
        <w:t>Stepwise regression:</w:t>
      </w:r>
    </w:p>
    <w:p w14:paraId="0606C998" w14:textId="77777777" w:rsidR="007B3ABC" w:rsidRDefault="007B3ABC" w:rsidP="00E06640">
      <w:pPr>
        <w:jc w:val="both"/>
      </w:pPr>
      <w:r>
        <w:t>pvalc =</w:t>
      </w:r>
    </w:p>
    <w:p w14:paraId="4D708311" w14:textId="77777777" w:rsidR="007B3ABC" w:rsidRDefault="007B3ABC" w:rsidP="00E06640">
      <w:pPr>
        <w:jc w:val="both"/>
      </w:pPr>
    </w:p>
    <w:p w14:paraId="7060FB83" w14:textId="77777777" w:rsidR="007B3ABC" w:rsidRDefault="007B3ABC" w:rsidP="00E06640">
      <w:pPr>
        <w:jc w:val="both"/>
      </w:pPr>
      <w:r>
        <w:t xml:space="preserve">    0.0019</w:t>
      </w:r>
    </w:p>
    <w:p w14:paraId="539DD6B6" w14:textId="77777777" w:rsidR="007B3ABC" w:rsidRDefault="007B3ABC" w:rsidP="00E06640">
      <w:pPr>
        <w:jc w:val="both"/>
      </w:pPr>
      <w:r>
        <w:t xml:space="preserve">    0.9435</w:t>
      </w:r>
    </w:p>
    <w:p w14:paraId="6942E359" w14:textId="77777777" w:rsidR="007B3ABC" w:rsidRDefault="007B3ABC" w:rsidP="00E06640">
      <w:pPr>
        <w:jc w:val="both"/>
      </w:pPr>
      <w:r>
        <w:t xml:space="preserve">    0.9342</w:t>
      </w:r>
    </w:p>
    <w:p w14:paraId="4618C85D" w14:textId="77777777" w:rsidR="007B3ABC" w:rsidRDefault="007B3ABC" w:rsidP="00E06640">
      <w:pPr>
        <w:jc w:val="both"/>
      </w:pPr>
      <w:r>
        <w:t xml:space="preserve">    0.8858</w:t>
      </w:r>
    </w:p>
    <w:p w14:paraId="3FCB7B5D" w14:textId="77777777" w:rsidR="007B3ABC" w:rsidRDefault="007B3ABC" w:rsidP="00E06640">
      <w:pPr>
        <w:jc w:val="both"/>
      </w:pPr>
      <w:r>
        <w:t xml:space="preserve">    0.7312</w:t>
      </w:r>
    </w:p>
    <w:p w14:paraId="7C4887FB" w14:textId="77777777" w:rsidR="007B3ABC" w:rsidRDefault="007B3ABC" w:rsidP="00E06640">
      <w:pPr>
        <w:jc w:val="both"/>
      </w:pPr>
      <w:r>
        <w:t xml:space="preserve">    0.8748</w:t>
      </w:r>
    </w:p>
    <w:p w14:paraId="0595A94A" w14:textId="77777777" w:rsidR="007B3ABC" w:rsidRDefault="007B3ABC" w:rsidP="00E06640">
      <w:pPr>
        <w:jc w:val="both"/>
      </w:pPr>
      <w:r>
        <w:t xml:space="preserve">    0.8811</w:t>
      </w:r>
    </w:p>
    <w:p w14:paraId="598C2E29" w14:textId="77777777" w:rsidR="007B3ABC" w:rsidRDefault="007B3ABC" w:rsidP="00E06640">
      <w:pPr>
        <w:jc w:val="both"/>
      </w:pPr>
      <w:r>
        <w:t xml:space="preserve">    0.9783</w:t>
      </w:r>
    </w:p>
    <w:p w14:paraId="71D3B029" w14:textId="77777777" w:rsidR="007B3ABC" w:rsidRDefault="007B3ABC" w:rsidP="00E06640">
      <w:pPr>
        <w:jc w:val="both"/>
      </w:pPr>
      <w:r>
        <w:t xml:space="preserve">    0.0149</w:t>
      </w:r>
    </w:p>
    <w:p w14:paraId="1A860938" w14:textId="611A09DB" w:rsidR="007B3ABC" w:rsidRDefault="007B3ABC" w:rsidP="00E06640">
      <w:pPr>
        <w:jc w:val="both"/>
      </w:pPr>
      <w:r>
        <w:t xml:space="preserve">    0.6284</w:t>
      </w:r>
    </w:p>
    <w:p w14:paraId="095B446F" w14:textId="77777777" w:rsidR="00A35B33" w:rsidRDefault="00A35B33" w:rsidP="00E06640">
      <w:pPr>
        <w:jc w:val="both"/>
      </w:pPr>
    </w:p>
    <w:p w14:paraId="3D037B4B" w14:textId="77777777" w:rsidR="00550DCA" w:rsidRDefault="00550DCA" w:rsidP="00E06640">
      <w:pPr>
        <w:jc w:val="both"/>
      </w:pPr>
      <w:r>
        <w:t xml:space="preserve">This is ignoring all patients who have their maximum of the HsTNT measurement above 2000. </w:t>
      </w:r>
    </w:p>
    <w:p w14:paraId="499DC3D6" w14:textId="3640E388" w:rsidR="00550DCA" w:rsidRDefault="00B7581E" w:rsidP="00E06640">
      <w:pPr>
        <w:jc w:val="both"/>
      </w:pPr>
      <w:r>
        <w:t xml:space="preserve">RMSE = </w:t>
      </w:r>
      <w:r w:rsidRPr="008E5FDB">
        <w:t>3.461228e+02</w:t>
      </w:r>
    </w:p>
    <w:p w14:paraId="446ECF8B" w14:textId="0786117E" w:rsidR="00550DCA" w:rsidRDefault="00C502FA" w:rsidP="00E06640">
      <w:pPr>
        <w:jc w:val="both"/>
      </w:pPr>
      <w:r>
        <w:rPr>
          <w:noProof/>
        </w:rPr>
        <w:drawing>
          <wp:inline distT="0" distB="0" distL="0" distR="0" wp14:anchorId="395345A7" wp14:editId="4532A332">
            <wp:extent cx="2391878" cy="1881456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3" t="4606" r="6921" b="2756"/>
                    <a:stretch/>
                  </pic:blipFill>
                  <pic:spPr bwMode="auto">
                    <a:xfrm>
                      <a:off x="0" y="0"/>
                      <a:ext cx="2394943" cy="188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02FA">
        <w:t xml:space="preserve"> </w:t>
      </w:r>
      <w:r>
        <w:rPr>
          <w:noProof/>
        </w:rPr>
        <w:drawing>
          <wp:inline distT="0" distB="0" distL="0" distR="0" wp14:anchorId="37217819" wp14:editId="49049D45">
            <wp:extent cx="2439670" cy="1913206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4" t="5820" r="8198" b="2892"/>
                    <a:stretch/>
                  </pic:blipFill>
                  <pic:spPr bwMode="auto">
                    <a:xfrm>
                      <a:off x="0" y="0"/>
                      <a:ext cx="2441113" cy="191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CE96D" w14:textId="77777777" w:rsidR="00550DCA" w:rsidRDefault="00550DCA" w:rsidP="00E06640">
      <w:pPr>
        <w:jc w:val="both"/>
      </w:pPr>
    </w:p>
    <w:p w14:paraId="7233E3F2" w14:textId="77777777" w:rsidR="00550DCA" w:rsidRDefault="00550DCA" w:rsidP="00E06640">
      <w:pPr>
        <w:jc w:val="both"/>
      </w:pPr>
    </w:p>
    <w:p w14:paraId="4BBCA397" w14:textId="77777777" w:rsidR="00550DCA" w:rsidRDefault="00550DCA" w:rsidP="00E06640">
      <w:pPr>
        <w:jc w:val="both"/>
      </w:pPr>
      <w:r>
        <w:t>When this exclusion is not made, the predictions are pull toward a very high value (~5e4). However, even in that case, the important predictors as WBC and PLT.</w:t>
      </w:r>
    </w:p>
    <w:p w14:paraId="1EDCA842" w14:textId="77777777" w:rsidR="00550DCA" w:rsidRDefault="00550DCA" w:rsidP="00E06640">
      <w:pPr>
        <w:jc w:val="both"/>
      </w:pPr>
      <w:r>
        <w:t>However, when patients with HsTNT&gt;500 are excluded, the only crucial parameter is WBC through the stepwise regression</w:t>
      </w:r>
    </w:p>
    <w:p w14:paraId="220D2196" w14:textId="77777777" w:rsidR="00944CA1" w:rsidRDefault="00944CA1" w:rsidP="00E06640">
      <w:pPr>
        <w:jc w:val="both"/>
      </w:pPr>
      <w:r>
        <w:t>pvalc =</w:t>
      </w:r>
    </w:p>
    <w:p w14:paraId="6CCE3142" w14:textId="77777777" w:rsidR="00944CA1" w:rsidRDefault="00944CA1" w:rsidP="00E06640">
      <w:pPr>
        <w:jc w:val="both"/>
      </w:pPr>
    </w:p>
    <w:p w14:paraId="3D44B2E7" w14:textId="77777777" w:rsidR="00944CA1" w:rsidRDefault="00944CA1" w:rsidP="00E06640">
      <w:pPr>
        <w:jc w:val="both"/>
      </w:pPr>
      <w:r>
        <w:t xml:space="preserve">    0.0107</w:t>
      </w:r>
    </w:p>
    <w:p w14:paraId="0F902090" w14:textId="77777777" w:rsidR="00944CA1" w:rsidRDefault="00944CA1" w:rsidP="00E06640">
      <w:pPr>
        <w:jc w:val="both"/>
      </w:pPr>
      <w:r>
        <w:t xml:space="preserve">    0.9751</w:t>
      </w:r>
    </w:p>
    <w:p w14:paraId="273DE338" w14:textId="77777777" w:rsidR="00944CA1" w:rsidRDefault="00944CA1" w:rsidP="00E06640">
      <w:pPr>
        <w:jc w:val="both"/>
      </w:pPr>
      <w:r>
        <w:t xml:space="preserve">    0.9821</w:t>
      </w:r>
    </w:p>
    <w:p w14:paraId="0C42A9F2" w14:textId="77777777" w:rsidR="00944CA1" w:rsidRDefault="00944CA1" w:rsidP="00E06640">
      <w:pPr>
        <w:jc w:val="both"/>
      </w:pPr>
      <w:r>
        <w:t xml:space="preserve">    0.5046</w:t>
      </w:r>
    </w:p>
    <w:p w14:paraId="747E7124" w14:textId="77777777" w:rsidR="00944CA1" w:rsidRDefault="00944CA1" w:rsidP="00E06640">
      <w:pPr>
        <w:jc w:val="both"/>
      </w:pPr>
      <w:r>
        <w:t xml:space="preserve">    0.3486</w:t>
      </w:r>
    </w:p>
    <w:p w14:paraId="31C7762E" w14:textId="77777777" w:rsidR="00944CA1" w:rsidRDefault="00944CA1" w:rsidP="00E06640">
      <w:pPr>
        <w:jc w:val="both"/>
      </w:pPr>
      <w:r>
        <w:t xml:space="preserve">    0.7580</w:t>
      </w:r>
    </w:p>
    <w:p w14:paraId="4C0D7F2D" w14:textId="77777777" w:rsidR="00944CA1" w:rsidRDefault="00944CA1" w:rsidP="00E06640">
      <w:pPr>
        <w:jc w:val="both"/>
      </w:pPr>
      <w:r>
        <w:t xml:space="preserve">    0.2940</w:t>
      </w:r>
    </w:p>
    <w:p w14:paraId="3CD4D197" w14:textId="77777777" w:rsidR="00944CA1" w:rsidRDefault="00944CA1" w:rsidP="00E06640">
      <w:pPr>
        <w:jc w:val="both"/>
      </w:pPr>
      <w:r>
        <w:t xml:space="preserve">    0.9320</w:t>
      </w:r>
    </w:p>
    <w:p w14:paraId="4B796B71" w14:textId="77777777" w:rsidR="00944CA1" w:rsidRDefault="00944CA1" w:rsidP="00E06640">
      <w:pPr>
        <w:jc w:val="both"/>
      </w:pPr>
      <w:r>
        <w:t xml:space="preserve">    0.0961</w:t>
      </w:r>
    </w:p>
    <w:p w14:paraId="563D4942" w14:textId="0C1BA2E0" w:rsidR="00550DCA" w:rsidRDefault="00944CA1" w:rsidP="00E06640">
      <w:pPr>
        <w:jc w:val="both"/>
      </w:pPr>
      <w:r>
        <w:t xml:space="preserve">    0.3495</w:t>
      </w:r>
    </w:p>
    <w:p w14:paraId="08305DF1" w14:textId="77777777" w:rsidR="00550DCA" w:rsidRDefault="00550DCA" w:rsidP="00E06640">
      <w:pPr>
        <w:jc w:val="both"/>
      </w:pPr>
      <w:r>
        <w:t>“Step 1, added column 1, p=0.0106849</w:t>
      </w:r>
    </w:p>
    <w:p w14:paraId="4290AEC8" w14:textId="77777777" w:rsidR="00550DCA" w:rsidRDefault="00550DCA" w:rsidP="00E06640">
      <w:pPr>
        <w:jc w:val="both"/>
      </w:pPr>
      <w:r>
        <w:t>Final columns included:  1”</w:t>
      </w:r>
    </w:p>
    <w:p w14:paraId="438E0C64" w14:textId="77777777" w:rsidR="00550DCA" w:rsidRDefault="00550DCA" w:rsidP="00E06640">
      <w:pPr>
        <w:jc w:val="both"/>
      </w:pPr>
    </w:p>
    <w:p w14:paraId="3B7E3B16" w14:textId="77777777" w:rsidR="00550DCA" w:rsidRDefault="00550DCA" w:rsidP="00E06640">
      <w:pPr>
        <w:jc w:val="both"/>
      </w:pPr>
      <w:r>
        <w:t>A log transformation was made for HsTNT to reduce the variation in HsTNT due to some extreme measurements (5e4)</w:t>
      </w:r>
    </w:p>
    <w:p w14:paraId="5573674E" w14:textId="77777777" w:rsidR="00550DCA" w:rsidRDefault="00550DCA" w:rsidP="00E06640">
      <w:pPr>
        <w:jc w:val="both"/>
      </w:pPr>
    </w:p>
    <w:p w14:paraId="474F01C3" w14:textId="77777777" w:rsidR="00550DCA" w:rsidRDefault="00550DCA" w:rsidP="00E06640">
      <w:pPr>
        <w:jc w:val="both"/>
      </w:pPr>
    </w:p>
    <w:p w14:paraId="23D0037E" w14:textId="7E22AB92" w:rsidR="002F2565" w:rsidRDefault="002F2565" w:rsidP="00E06640">
      <w:pPr>
        <w:jc w:val="both"/>
      </w:pPr>
      <w:r w:rsidRPr="0039487A">
        <w:rPr>
          <w:b/>
        </w:rPr>
        <w:t>Case 2:</w:t>
      </w:r>
      <w:r>
        <w:t xml:space="preserve"> Subset analysis on patients who have an increasing HsTNT tendency over time (+ve slope)</w:t>
      </w:r>
    </w:p>
    <w:p w14:paraId="6528624C" w14:textId="594FF079" w:rsidR="0080688E" w:rsidRDefault="0080688E" w:rsidP="00E06640">
      <w:pPr>
        <w:jc w:val="both"/>
      </w:pPr>
      <w:r>
        <w:t>The Predictors are the CBC measurements at max HsTNT</w:t>
      </w:r>
    </w:p>
    <w:p w14:paraId="355A931D" w14:textId="3C3E1DF1" w:rsidR="00673FED" w:rsidRDefault="00673FED" w:rsidP="00E06640">
      <w:pPr>
        <w:jc w:val="both"/>
      </w:pPr>
      <w:r>
        <w:t>80 patients had +ve slope for HsTNT</w:t>
      </w:r>
      <w:r w:rsidR="00134780">
        <w:t>. Patients 2, 30 and 110 were excluded since they did not have a monotonic curve for HsTNT variation over time.</w:t>
      </w:r>
    </w:p>
    <w:p w14:paraId="1B220770" w14:textId="77777777" w:rsidR="0092739A" w:rsidRDefault="0092739A" w:rsidP="00E06640">
      <w:pPr>
        <w:jc w:val="both"/>
      </w:pPr>
    </w:p>
    <w:p w14:paraId="03840691" w14:textId="4622743F" w:rsidR="0092739A" w:rsidRDefault="0092739A" w:rsidP="00E06640">
      <w:pPr>
        <w:jc w:val="both"/>
      </w:pPr>
      <w:r>
        <w:t xml:space="preserve">For binary outcomes, a logistic regression model was performed using </w:t>
      </w:r>
      <w:r w:rsidR="003B4779">
        <w:t>Holdout crossvalidation. The confusion matrix considering the cutoff probability as 0.7</w:t>
      </w:r>
    </w:p>
    <w:p w14:paraId="3B2FA1E5" w14:textId="77777777" w:rsidR="003B4779" w:rsidRDefault="003B4779" w:rsidP="00E0664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350"/>
      </w:tblGrid>
      <w:tr w:rsidR="003B4779" w14:paraId="51EC4E48" w14:textId="77777777" w:rsidTr="004F005F">
        <w:tc>
          <w:tcPr>
            <w:tcW w:w="1818" w:type="dxa"/>
          </w:tcPr>
          <w:p w14:paraId="3C877012" w14:textId="76223EBF" w:rsidR="003B4779" w:rsidRDefault="003B4779" w:rsidP="00E06640">
            <w:pPr>
              <w:jc w:val="both"/>
            </w:pPr>
            <w:r>
              <w:t>(0,0) 1</w:t>
            </w:r>
            <w:r>
              <w:t>2</w:t>
            </w:r>
          </w:p>
        </w:tc>
        <w:tc>
          <w:tcPr>
            <w:tcW w:w="1350" w:type="dxa"/>
          </w:tcPr>
          <w:p w14:paraId="32E3381C" w14:textId="7222FC90" w:rsidR="003B4779" w:rsidRDefault="003B4779" w:rsidP="00E06640">
            <w:pPr>
              <w:jc w:val="both"/>
            </w:pPr>
            <w:r>
              <w:t xml:space="preserve">(0,1) </w:t>
            </w:r>
            <w:r>
              <w:t>4</w:t>
            </w:r>
          </w:p>
        </w:tc>
      </w:tr>
      <w:tr w:rsidR="003B4779" w14:paraId="73F3ACEE" w14:textId="77777777" w:rsidTr="004F005F">
        <w:tc>
          <w:tcPr>
            <w:tcW w:w="1818" w:type="dxa"/>
          </w:tcPr>
          <w:p w14:paraId="7183FE43" w14:textId="0AF8FEA3" w:rsidR="003B4779" w:rsidRDefault="003B4779" w:rsidP="00E06640">
            <w:pPr>
              <w:jc w:val="both"/>
            </w:pPr>
            <w:r>
              <w:t>(1,0) 1</w:t>
            </w:r>
            <w:r>
              <w:t>5</w:t>
            </w:r>
          </w:p>
        </w:tc>
        <w:tc>
          <w:tcPr>
            <w:tcW w:w="1350" w:type="dxa"/>
          </w:tcPr>
          <w:p w14:paraId="6FBE55EF" w14:textId="6D38882B" w:rsidR="003B4779" w:rsidRDefault="003B4779" w:rsidP="00E06640">
            <w:pPr>
              <w:jc w:val="both"/>
            </w:pPr>
            <w:r>
              <w:t xml:space="preserve">(1,1) </w:t>
            </w:r>
            <w:r>
              <w:t>33</w:t>
            </w:r>
          </w:p>
        </w:tc>
      </w:tr>
    </w:tbl>
    <w:p w14:paraId="5A899071" w14:textId="77777777" w:rsidR="00C9245A" w:rsidRDefault="00C9245A" w:rsidP="00E06640">
      <w:pPr>
        <w:jc w:val="both"/>
      </w:pPr>
    </w:p>
    <w:p w14:paraId="1ADFB6E6" w14:textId="7B541A51" w:rsidR="00C773F0" w:rsidRDefault="00C773F0" w:rsidP="00E06640">
      <w:pPr>
        <w:jc w:val="both"/>
      </w:pPr>
      <w:r>
        <w:t>Confusion matrix for the test</w:t>
      </w:r>
      <w:r w:rsidR="00A62FE4">
        <w:t xml:space="preserve"> set isolated using Holdout cross validation</w:t>
      </w:r>
    </w:p>
    <w:p w14:paraId="20C6A0DD" w14:textId="77777777" w:rsidR="00C773F0" w:rsidRDefault="00C773F0" w:rsidP="00E06640">
      <w:pPr>
        <w:jc w:val="both"/>
      </w:pPr>
      <w:r>
        <w:t xml:space="preserve">  3     4</w:t>
      </w:r>
    </w:p>
    <w:p w14:paraId="137856F8" w14:textId="66BB46D5" w:rsidR="00C773F0" w:rsidRDefault="00C773F0" w:rsidP="00E06640">
      <w:pPr>
        <w:jc w:val="both"/>
      </w:pPr>
      <w:r>
        <w:t xml:space="preserve">  </w:t>
      </w:r>
      <w:r>
        <w:t>1     8</w:t>
      </w:r>
    </w:p>
    <w:p w14:paraId="6A772ACC" w14:textId="275CE8EB" w:rsidR="00C9245A" w:rsidRDefault="00E53F7E" w:rsidP="00E06640">
      <w:pPr>
        <w:jc w:val="both"/>
      </w:pPr>
      <w:r>
        <w:t>Using continuous HsTNT and ignoring patients with HsTNT higher than 2000, stepwise regression also suggests WBC and PLT as the significant variables</w:t>
      </w:r>
    </w:p>
    <w:p w14:paraId="07FD0E0E" w14:textId="77777777" w:rsidR="00E53F7E" w:rsidRDefault="00E53F7E" w:rsidP="00E06640">
      <w:pPr>
        <w:jc w:val="both"/>
      </w:pPr>
      <w:r>
        <w:t>pvalc =</w:t>
      </w:r>
    </w:p>
    <w:p w14:paraId="1210EF27" w14:textId="77777777" w:rsidR="00E53F7E" w:rsidRDefault="00E53F7E" w:rsidP="00E06640">
      <w:pPr>
        <w:jc w:val="both"/>
      </w:pPr>
    </w:p>
    <w:p w14:paraId="2EB36A42" w14:textId="77777777" w:rsidR="00E53F7E" w:rsidRDefault="00E53F7E" w:rsidP="00E06640">
      <w:pPr>
        <w:jc w:val="both"/>
      </w:pPr>
      <w:r>
        <w:t xml:space="preserve">    0.0000</w:t>
      </w:r>
    </w:p>
    <w:p w14:paraId="34003D92" w14:textId="77777777" w:rsidR="00E53F7E" w:rsidRDefault="00E53F7E" w:rsidP="00E06640">
      <w:pPr>
        <w:jc w:val="both"/>
      </w:pPr>
      <w:r>
        <w:t xml:space="preserve">    0.2533</w:t>
      </w:r>
    </w:p>
    <w:p w14:paraId="0846CA7B" w14:textId="77777777" w:rsidR="00E53F7E" w:rsidRDefault="00E53F7E" w:rsidP="00E06640">
      <w:pPr>
        <w:jc w:val="both"/>
      </w:pPr>
      <w:r>
        <w:t xml:space="preserve">    0.5138</w:t>
      </w:r>
    </w:p>
    <w:p w14:paraId="1ED28C41" w14:textId="77777777" w:rsidR="00E53F7E" w:rsidRDefault="00E53F7E" w:rsidP="00E06640">
      <w:pPr>
        <w:jc w:val="both"/>
      </w:pPr>
      <w:r>
        <w:t xml:space="preserve">    0.5365</w:t>
      </w:r>
    </w:p>
    <w:p w14:paraId="0E5B5C9A" w14:textId="77777777" w:rsidR="00E53F7E" w:rsidRDefault="00E53F7E" w:rsidP="00E06640">
      <w:pPr>
        <w:jc w:val="both"/>
      </w:pPr>
      <w:r>
        <w:t xml:space="preserve">    0.4612</w:t>
      </w:r>
    </w:p>
    <w:p w14:paraId="61FC4241" w14:textId="77777777" w:rsidR="00E53F7E" w:rsidRDefault="00E53F7E" w:rsidP="00E06640">
      <w:pPr>
        <w:jc w:val="both"/>
      </w:pPr>
      <w:r>
        <w:t xml:space="preserve">    0.3575</w:t>
      </w:r>
    </w:p>
    <w:p w14:paraId="2586AE4D" w14:textId="77777777" w:rsidR="00E53F7E" w:rsidRDefault="00E53F7E" w:rsidP="00E06640">
      <w:pPr>
        <w:jc w:val="both"/>
      </w:pPr>
      <w:r>
        <w:t xml:space="preserve">    0.3770</w:t>
      </w:r>
    </w:p>
    <w:p w14:paraId="3AD98F06" w14:textId="77777777" w:rsidR="00E53F7E" w:rsidRDefault="00E53F7E" w:rsidP="00E06640">
      <w:pPr>
        <w:jc w:val="both"/>
      </w:pPr>
      <w:r>
        <w:t xml:space="preserve">    0.4380</w:t>
      </w:r>
    </w:p>
    <w:p w14:paraId="4750A4DB" w14:textId="77777777" w:rsidR="00E53F7E" w:rsidRDefault="00E53F7E" w:rsidP="00E06640">
      <w:pPr>
        <w:jc w:val="both"/>
      </w:pPr>
      <w:r>
        <w:t xml:space="preserve">    0.0214</w:t>
      </w:r>
    </w:p>
    <w:p w14:paraId="6FF50F68" w14:textId="7BD150ED" w:rsidR="00E53F7E" w:rsidRDefault="00E53F7E" w:rsidP="00E06640">
      <w:pPr>
        <w:jc w:val="both"/>
      </w:pPr>
      <w:r>
        <w:t xml:space="preserve">    0.5228</w:t>
      </w:r>
    </w:p>
    <w:p w14:paraId="78B1B597" w14:textId="2C36FA36" w:rsidR="00C9245A" w:rsidRDefault="00C9245A" w:rsidP="00E06640">
      <w:pPr>
        <w:jc w:val="both"/>
      </w:pPr>
      <w:r>
        <w:rPr>
          <w:noProof/>
        </w:rPr>
        <w:drawing>
          <wp:inline distT="0" distB="0" distL="0" distR="0" wp14:anchorId="153C6E08" wp14:editId="0E2395A5">
            <wp:extent cx="2518117" cy="2041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2" t="4794" r="7177"/>
                    <a:stretch/>
                  </pic:blipFill>
                  <pic:spPr bwMode="auto">
                    <a:xfrm>
                      <a:off x="0" y="0"/>
                      <a:ext cx="2519507" cy="204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512E8" w:rsidRPr="00F512E8">
        <w:t xml:space="preserve"> </w:t>
      </w:r>
      <w:r w:rsidR="00F512E8">
        <w:rPr>
          <w:noProof/>
        </w:rPr>
        <w:drawing>
          <wp:inline distT="0" distB="0" distL="0" distR="0" wp14:anchorId="1D72F0A0" wp14:editId="2EFFD5C6">
            <wp:extent cx="2578067" cy="214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2" r="7425" b="2752"/>
                    <a:stretch/>
                  </pic:blipFill>
                  <pic:spPr bwMode="auto">
                    <a:xfrm>
                      <a:off x="0" y="0"/>
                      <a:ext cx="2579857" cy="214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FB68A" w14:textId="77777777" w:rsidR="009D256F" w:rsidRDefault="009D256F" w:rsidP="00E06640">
      <w:pPr>
        <w:jc w:val="both"/>
      </w:pPr>
    </w:p>
    <w:p w14:paraId="7FBABD59" w14:textId="56DEE7BA" w:rsidR="009D256F" w:rsidRDefault="009D256F" w:rsidP="00E06640">
      <w:pPr>
        <w:jc w:val="both"/>
      </w:pPr>
      <w:r>
        <w:t>When the threshold for exclusion was reduced to 500, the results are similar to that of the complete patient data set. WBC turns out to be most significant</w:t>
      </w:r>
      <w:r w:rsidR="008100D0">
        <w:t>. Also, with log transformation, the results are similar to before (only WBC significant).</w:t>
      </w:r>
    </w:p>
    <w:p w14:paraId="35410436" w14:textId="24D1AE0A" w:rsidR="00E626FF" w:rsidRDefault="00E626FF" w:rsidP="00E06640">
      <w:pPr>
        <w:jc w:val="both"/>
      </w:pPr>
      <w:r>
        <w:t>“</w:t>
      </w:r>
      <w:r w:rsidRPr="00E626FF">
        <w:t>Adding x1, FStat = 6.3192, pValue = 0.014003</w:t>
      </w:r>
      <w:r>
        <w:t>”</w:t>
      </w:r>
    </w:p>
    <w:p w14:paraId="70765059" w14:textId="77777777" w:rsidR="00D335DC" w:rsidRDefault="00D335DC" w:rsidP="00E06640">
      <w:pPr>
        <w:jc w:val="both"/>
      </w:pPr>
    </w:p>
    <w:p w14:paraId="05F5632B" w14:textId="1395D338" w:rsidR="00D335DC" w:rsidRPr="002C1983" w:rsidRDefault="00D335DC" w:rsidP="00E06640">
      <w:pPr>
        <w:jc w:val="both"/>
      </w:pPr>
      <w:r>
        <w:t xml:space="preserve">The observations when considering the predictors as </w:t>
      </w:r>
      <w:r w:rsidR="002C1983">
        <w:t>CBC|t=</w:t>
      </w:r>
      <w:r w:rsidR="002C1983">
        <w:rPr>
          <w:vertAlign w:val="subscript"/>
        </w:rPr>
        <w:t>0</w:t>
      </w:r>
      <w:r w:rsidR="002C1983">
        <w:rPr>
          <w:vertAlign w:val="subscript"/>
        </w:rPr>
        <w:t xml:space="preserve"> </w:t>
      </w:r>
      <w:r w:rsidR="002C1983">
        <w:t>are same as that observed for</w:t>
      </w:r>
      <w:r w:rsidR="00E25DB0">
        <w:t xml:space="preserve"> the predictors=</w:t>
      </w:r>
      <w:bookmarkStart w:id="0" w:name="_GoBack"/>
      <w:bookmarkEnd w:id="0"/>
      <w:r w:rsidR="002C1983">
        <w:t>CBC measurements at maximum HsTNT.</w:t>
      </w:r>
    </w:p>
    <w:sectPr w:rsidR="00D335DC" w:rsidRPr="002C1983" w:rsidSect="00DF6C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D1"/>
    <w:rsid w:val="00021134"/>
    <w:rsid w:val="0002280F"/>
    <w:rsid w:val="000265A5"/>
    <w:rsid w:val="00067126"/>
    <w:rsid w:val="00134780"/>
    <w:rsid w:val="001A2559"/>
    <w:rsid w:val="001C1AED"/>
    <w:rsid w:val="001D6E7E"/>
    <w:rsid w:val="0022240C"/>
    <w:rsid w:val="00236B34"/>
    <w:rsid w:val="0027092E"/>
    <w:rsid w:val="0029102B"/>
    <w:rsid w:val="002C1983"/>
    <w:rsid w:val="002D52E2"/>
    <w:rsid w:val="002F2565"/>
    <w:rsid w:val="003530E2"/>
    <w:rsid w:val="0039487A"/>
    <w:rsid w:val="003B4374"/>
    <w:rsid w:val="003B4779"/>
    <w:rsid w:val="00403329"/>
    <w:rsid w:val="004554E3"/>
    <w:rsid w:val="00524A90"/>
    <w:rsid w:val="00532D5F"/>
    <w:rsid w:val="00541BAB"/>
    <w:rsid w:val="00550DCA"/>
    <w:rsid w:val="005723AB"/>
    <w:rsid w:val="00585E03"/>
    <w:rsid w:val="00606F2C"/>
    <w:rsid w:val="00646300"/>
    <w:rsid w:val="00673FED"/>
    <w:rsid w:val="00676F9E"/>
    <w:rsid w:val="0077618D"/>
    <w:rsid w:val="007B3ABC"/>
    <w:rsid w:val="0080688E"/>
    <w:rsid w:val="008100D0"/>
    <w:rsid w:val="00810AA2"/>
    <w:rsid w:val="00833A27"/>
    <w:rsid w:val="008346EB"/>
    <w:rsid w:val="008877A5"/>
    <w:rsid w:val="008E5FDB"/>
    <w:rsid w:val="00907FA8"/>
    <w:rsid w:val="00910CD4"/>
    <w:rsid w:val="0092739A"/>
    <w:rsid w:val="00927A86"/>
    <w:rsid w:val="00944CA1"/>
    <w:rsid w:val="00984DDA"/>
    <w:rsid w:val="00991DC6"/>
    <w:rsid w:val="009A34DC"/>
    <w:rsid w:val="009D256F"/>
    <w:rsid w:val="00A33BCC"/>
    <w:rsid w:val="00A352BC"/>
    <w:rsid w:val="00A35B33"/>
    <w:rsid w:val="00A43F08"/>
    <w:rsid w:val="00A44792"/>
    <w:rsid w:val="00A571D1"/>
    <w:rsid w:val="00A62FE4"/>
    <w:rsid w:val="00A94620"/>
    <w:rsid w:val="00AA28D2"/>
    <w:rsid w:val="00AF6D71"/>
    <w:rsid w:val="00B75489"/>
    <w:rsid w:val="00B7581E"/>
    <w:rsid w:val="00BC596F"/>
    <w:rsid w:val="00C502FA"/>
    <w:rsid w:val="00C773F0"/>
    <w:rsid w:val="00C9245A"/>
    <w:rsid w:val="00CE49F7"/>
    <w:rsid w:val="00D1345C"/>
    <w:rsid w:val="00D335DC"/>
    <w:rsid w:val="00D42711"/>
    <w:rsid w:val="00DB68F9"/>
    <w:rsid w:val="00DE06B0"/>
    <w:rsid w:val="00DF6C02"/>
    <w:rsid w:val="00E06640"/>
    <w:rsid w:val="00E22723"/>
    <w:rsid w:val="00E25DB0"/>
    <w:rsid w:val="00E37DD6"/>
    <w:rsid w:val="00E50C23"/>
    <w:rsid w:val="00E53F7E"/>
    <w:rsid w:val="00E626FF"/>
    <w:rsid w:val="00E72610"/>
    <w:rsid w:val="00E76D8B"/>
    <w:rsid w:val="00F046F8"/>
    <w:rsid w:val="00F512E8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38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2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0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2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2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690</Words>
  <Characters>3933</Characters>
  <Application>Microsoft Macintosh Word</Application>
  <DocSecurity>0</DocSecurity>
  <Lines>32</Lines>
  <Paragraphs>9</Paragraphs>
  <ScaleCrop>false</ScaleCrop>
  <Company>Massachesetts general hospital</Company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Chaudhury</dc:creator>
  <cp:keywords/>
  <dc:description/>
  <cp:lastModifiedBy>Anwesha Chaudhury</cp:lastModifiedBy>
  <cp:revision>82</cp:revision>
  <dcterms:created xsi:type="dcterms:W3CDTF">2015-04-29T13:34:00Z</dcterms:created>
  <dcterms:modified xsi:type="dcterms:W3CDTF">2015-04-29T15:56:00Z</dcterms:modified>
</cp:coreProperties>
</file>