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4fc923104b4beebc3162a97ff62a457d537886"/>
    <w:p>
      <w:pPr>
        <w:pStyle w:val="Heading1"/>
      </w:pPr>
      <w:r>
        <w:t xml:space="preserve">Exhibit — Competitive Position and Year Three Market Model (one page)</w:t>
      </w:r>
    </w:p>
    <w:bookmarkStart w:id="9" w:name="X73cad074438a3011dfcdfcb2e887da6619c6c89"/>
    <w:p>
      <w:pPr>
        <w:pStyle w:val="Heading2"/>
      </w:pPr>
      <w:r>
        <w:t xml:space="preserve">Panel A: Category landscape and Everpure's differentiation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Representative vendors</w:t>
            </w:r>
          </w:p>
        </w:tc>
        <w:tc>
          <w:tcPr/>
          <w:p>
            <w:pPr>
              <w:pStyle w:val="Compact"/>
            </w:pPr>
            <w:r>
              <w:t xml:space="preserve">Strongest at</w:t>
            </w:r>
          </w:p>
        </w:tc>
        <w:tc>
          <w:tcPr/>
          <w:p>
            <w:pPr>
              <w:pStyle w:val="Compact"/>
            </w:pPr>
            <w:r>
              <w:t xml:space="preserve">Missing at decision time</w:t>
            </w:r>
          </w:p>
        </w:tc>
        <w:tc>
          <w:tcPr/>
          <w:p>
            <w:pPr>
              <w:pStyle w:val="Compact"/>
            </w:pPr>
            <w:r>
              <w:t xml:space="preserve">Everpure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providers</w:t>
            </w:r>
          </w:p>
        </w:tc>
        <w:tc>
          <w:tcPr/>
          <w:p>
            <w:pPr>
              <w:pStyle w:val="Compact"/>
            </w:pPr>
            <w:r>
              <w:t xml:space="preserve">Okta Cross App Access, Microsoft Entra Agent ID, CyberArk</w:t>
            </w:r>
          </w:p>
        </w:tc>
        <w:tc>
          <w:tcPr/>
          <w:p>
            <w:pPr>
              <w:pStyle w:val="Compact"/>
            </w:pPr>
            <w:r>
              <w:t xml:space="preserve">Agent identity, delegation, credential governance</w:t>
            </w:r>
          </w:p>
        </w:tc>
        <w:tc>
          <w:tcPr/>
          <w:p>
            <w:pPr>
              <w:pStyle w:val="Compact"/>
            </w:pPr>
            <w:r>
              <w:t xml:space="preserve">Data blind to the action's target (sensitivity, lineage, criticality, recoverability)</w:t>
            </w:r>
          </w:p>
        </w:tc>
        <w:tc>
          <w:tcPr/>
          <w:p>
            <w:pPr>
              <w:pStyle w:val="Compact"/>
            </w:pPr>
            <w:r>
              <w:t xml:space="preserve">Context feed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engines</w:t>
            </w:r>
          </w:p>
        </w:tc>
        <w:tc>
          <w:tcPr/>
          <w:p>
            <w:pPr>
              <w:pStyle w:val="Compact"/>
            </w:pPr>
            <w:r>
              <w:t xml:space="preserve">AWS AgentCore Policy (Cedar), OPA</w:t>
            </w:r>
          </w:p>
        </w:tc>
        <w:tc>
          <w:tcPr/>
          <w:p>
            <w:pPr>
              <w:pStyle w:val="Compact"/>
            </w:pPr>
            <w:r>
              <w:t xml:space="preserve">Policy evaluation at the enforcement point</w:t>
            </w:r>
          </w:p>
        </w:tc>
        <w:tc>
          <w:tcPr/>
          <w:p>
            <w:pPr>
              <w:pStyle w:val="Compact"/>
            </w:pPr>
            <w:r>
              <w:t xml:space="preserve">Rich, current data attributes to evaluate against</w:t>
            </w:r>
          </w:p>
        </w:tc>
        <w:tc>
          <w:tcPr/>
          <w:p>
            <w:pPr>
              <w:pStyle w:val="Compact"/>
            </w:pPr>
            <w:r>
              <w:t xml:space="preserve">Policy ready attribute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security</w:t>
            </w:r>
          </w:p>
        </w:tc>
        <w:tc>
          <w:tcPr/>
          <w:p>
            <w:pPr>
              <w:pStyle w:val="Compact"/>
            </w:pPr>
            <w:r>
              <w:t xml:space="preserve">Zenity, Noma, WitnessAI; Rubrik Agent Rewind (rollback)</w:t>
            </w:r>
          </w:p>
        </w:tc>
        <w:tc>
          <w:tcPr/>
          <w:p>
            <w:pPr>
              <w:pStyle w:val="Compact"/>
            </w:pPr>
            <w:r>
              <w:t xml:space="preserve">Interception, behavior monitoring, application layer undo</w:t>
            </w:r>
          </w:p>
        </w:tc>
        <w:tc>
          <w:tcPr/>
          <w:p>
            <w:pPr>
              <w:pStyle w:val="Compact"/>
            </w:pPr>
            <w:r>
              <w:t xml:space="preserve">Business impact, blast radius, storage recovery context</w:t>
            </w:r>
          </w:p>
        </w:tc>
        <w:tc>
          <w:tcPr/>
          <w:p>
            <w:pPr>
              <w:pStyle w:val="Compact"/>
            </w:pPr>
            <w:r>
              <w:t xml:space="preserve">Business impact and recovery context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governance / DSPM</w:t>
            </w:r>
          </w:p>
        </w:tc>
        <w:tc>
          <w:tcPr/>
          <w:p>
            <w:pPr>
              <w:pStyle w:val="Compact"/>
            </w:pPr>
            <w:r>
              <w:t xml:space="preserve">Cyera, BigID, Varonis, Microsoft Purview</w:t>
            </w:r>
          </w:p>
        </w:tc>
        <w:tc>
          <w:tcPr/>
          <w:p>
            <w:pPr>
              <w:pStyle w:val="Compact"/>
            </w:pPr>
            <w:r>
              <w:t xml:space="preserve">Discovery, classification, posture</w:t>
            </w:r>
          </w:p>
        </w:tc>
        <w:tc>
          <w:tcPr/>
          <w:p>
            <w:pPr>
              <w:pStyle w:val="Compact"/>
            </w:pPr>
            <w:r>
              <w:t xml:space="preserve">Runtime delivery — context is scan based, not served at the moment of action</w:t>
            </w:r>
          </w:p>
        </w:tc>
        <w:tc>
          <w:tcPr/>
          <w:p>
            <w:pPr>
              <w:pStyle w:val="Compact"/>
            </w:pPr>
            <w:r>
              <w:t xml:space="preserve">Closest adjacency; we differ on runtime delivery, storage and recovery signals, mainframe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platforms</w:t>
            </w:r>
          </w:p>
        </w:tc>
        <w:tc>
          <w:tcPr/>
          <w:p>
            <w:pPr>
              <w:pStyle w:val="Compact"/>
            </w:pPr>
            <w:r>
              <w:t xml:space="preserve">Databricks Unity Catalog, Snowflake Horizon</w:t>
            </w:r>
          </w:p>
        </w:tc>
        <w:tc>
          <w:tcPr/>
          <w:p>
            <w:pPr>
              <w:pStyle w:val="Compact"/>
            </w:pPr>
            <w:r>
              <w:t xml:space="preserve">Deepest context inside their own ecosystems</w:t>
            </w:r>
          </w:p>
        </w:tc>
        <w:tc>
          <w:tcPr/>
          <w:p>
            <w:pPr>
              <w:pStyle w:val="Compact"/>
            </w:pPr>
            <w:r>
              <w:t xml:space="preserve">Coverage beyond their estate; storage level recovery information</w:t>
            </w:r>
          </w:p>
        </w:tc>
        <w:tc>
          <w:tcPr/>
          <w:p>
            <w:pPr>
              <w:pStyle w:val="Compact"/>
            </w:pPr>
            <w:r>
              <w:t xml:space="preserve">Complement across heterogeneous estates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 to prove (§3):</w:t>
      </w:r>
      <w:r>
        <w:t xml:space="preserve"> </w:t>
      </w:r>
      <w:r>
        <w:t xml:space="preserve">cross estate context including mainframe (1touch.io engine, &gt;98% classification accuracy, Tolly verified), storage level recovery signals, policy ready runtime delivery, cryptographically verifiable evidence. Initial proof thresholds (§6, to be finalized with design partners): ≥90% context coverage, ≥15% of high risk actions with a unique material Everpure signal, &lt;5% stale context.</w:t>
      </w:r>
    </w:p>
    <w:bookmarkEnd w:id="9"/>
    <w:bookmarkStart w:id="10" w:name="Xc3bdb5836da7822468ca282034118b727d77720"/>
    <w:p>
      <w:pPr>
        <w:pStyle w:val="Heading2"/>
      </w:pPr>
      <w:r>
        <w:t xml:space="preserve">Panel B: Year three market model (bottom up, milestone gated)</w:t>
      </w:r>
    </w:p>
    <w:p>
      <w:pPr>
        <w:pStyle w:val="FirstParagraph"/>
      </w:pPr>
      <w:r>
        <w:rPr>
          <w:b/>
          <w:bCs/>
        </w:rPr>
        <w:t xml:space="preserve">Base case build up (Year 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Avg. ARR to Everpure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context service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~$480K (platform ~$250K + usage on governed high risk actions ~$230K)</w:t>
            </w:r>
          </w:p>
        </w:tc>
        <w:tc>
          <w:tcPr/>
          <w:p>
            <w:pPr>
              <w:pStyle w:val="Compact"/>
            </w:pPr>
            <w:r>
              <w:t xml:space="preserve">~$120M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/ OEM sourced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~$300K net (revenue share on embedded and marketplace distribution)</w:t>
            </w:r>
          </w:p>
        </w:tc>
        <w:tc>
          <w:tcPr/>
          <w:p>
            <w:pPr>
              <w:pStyle w:val="Compact"/>
            </w:pPr>
            <w:r>
              <w:t xml:space="preserve">~$30M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product 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~$150M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Trajectory:</w:t>
      </w:r>
      <w:r>
        <w:t xml:space="preserve"> </w:t>
      </w:r>
      <w:r>
        <w:t xml:space="preserve">Year 1: 3–5 paying production customers (~$1–2M exit ARR). Year 2: 40–75 direct and partner customers (~$18–30M). Year 3: ~350 (~$150M). The Year 2 → Year 3 ramp assumes both production enforcement integrations are live and the partner channel scales; it is gated on the Stage 1–2 evidence gates (§5), not on calendar time.</w:t>
      </w:r>
    </w:p>
    <w:p>
      <w:pPr>
        <w:pStyle w:val="BodyText"/>
      </w:pPr>
      <w:r>
        <w:rPr>
          <w:b/>
          <w:bCs/>
        </w:rPr>
        <w:t xml:space="preserve">Penetration checks:</w:t>
      </w:r>
      <w:r>
        <w:t xml:space="preserve"> </w:t>
      </w:r>
      <w:r>
        <w:t xml:space="preserve">~250 direct customers ≈ 1.7% of the 14,500 customer installed base, or ~10% of an assumed ~2,500 account ideal pool — roughly the regulated, Fortune 500 scale subset of the installed base (64% of the F500 [10]) deploying write capable agents with an interception point, plus net new equivalents. Partner sourced accounts are primarily net new, outside the installed base.</w:t>
      </w:r>
    </w:p>
    <w:p>
      <w:pPr>
        <w:pStyle w:val="BodyText"/>
      </w:pPr>
      <w:r>
        <w:rPr>
          <w:b/>
          <w:bCs/>
        </w:rPr>
        <w:t xml:space="preserve">Bridge to the $500M bull case (not the expected outcome):</w:t>
      </w:r>
      <w:r>
        <w:t xml:space="preserve"> </w:t>
      </w:r>
      <w:r>
        <w:t xml:space="preserve">~550 direct customers (≈22% of the ideal pool) × ~$640K ACV (deeper usage plus sensitive data movement attach) ≈ $350M, plus ~425 partner sourced × ~$350K net ≈ $150M. Requires ~2.2× penetration, ~1.3× ACV, and ~4× partner distribution versus base — bull, not base.</w:t>
      </w:r>
    </w:p>
    <w:p>
      <w:pPr>
        <w:pStyle w:val="BodyText"/>
      </w:pPr>
      <w:r>
        <w:rPr>
          <w:b/>
          <w:bCs/>
        </w:rPr>
        <w:t xml:space="preserve">Not counted above (§7):</w:t>
      </w:r>
      <w:r>
        <w:t xml:space="preserve"> </w:t>
      </w:r>
      <w:r>
        <w:t xml:space="preserve">storage and Data Intelligence pull through (influenced bookings) and retained ARR are reported separately; no double counting.</w:t>
      </w:r>
    </w:p>
    <w:p>
      <w:pPr>
        <w:pStyle w:val="BodyText"/>
      </w:pPr>
      <w:r>
        <w:rPr>
          <w:b/>
          <w:bCs/>
        </w:rPr>
        <w:t xml:space="preserve">What falsifies this model:</w:t>
      </w:r>
      <w:r>
        <w:t xml:space="preserve"> </w:t>
      </w:r>
      <w:r>
        <w:t xml:space="preserve">enforcement platforms not consuming context beyond classification labels, coverage or unique signal below the §6 thresholds, or failed partner economics — in which case we narrow per §8, and the direct only path caps near the ~$120M line, later.</w:t>
      </w:r>
    </w:p>
    <w:p>
      <w:pPr>
        <w:pStyle w:val="BodyText"/>
      </w:pPr>
      <w:r>
        <w:rPr>
          <w:i/>
          <w:iCs/>
        </w:rPr>
        <w:t xml:space="preserve">Illustrative planning figures, not commitments. ACVs are management estimates consistent with separately priced enterprise data security platforms at Fortune 500 scale regulated accounts; partner net ARR assumes ~55–60% revenue share on partner side pricing of ~$500–550K; customer counts are production customers, not pilots.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2026-07-21T00:27:17Z</dcterms:created>
  <dcterms:modified xsi:type="dcterms:W3CDTF">2026-07-21T00:27:17Z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