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5b42f058b84d9d39d304bf13a18d88ab8bdffd"/>
    <w:p>
      <w:pPr>
        <w:pStyle w:val="Heading1"/>
      </w:pPr>
      <w:r>
        <w:t xml:space="preserve">Stakeholder Red-Team — Decision-Engine Draft — Gap Analysis</w:t>
      </w:r>
    </w:p>
    <w:p>
      <w:pPr>
        <w:pStyle w:val="FirstParagraph"/>
      </w:pPr>
      <w:r>
        <w:t xml:space="preserve">Source memo:</w:t>
      </w:r>
      <w:r>
        <w:t xml:space="preserve"> </w:t>
      </w:r>
      <w:r>
        <w:rPr>
          <w:rStyle w:val="VerbatimChar"/>
        </w:rPr>
        <w:t xml:space="preserve">/Users/sanketk/Downloads/everpure-case-research/sanket-draft/STRATEGY-MEMO-sanket-draft.md</w:t>
      </w:r>
      <w:r>
        <w:t xml:space="preserve"> </w:t>
      </w:r>
      <w:r>
        <w:t xml:space="preserve">Sizing exhibit:</w:t>
      </w:r>
      <w:r>
        <w:t xml:space="preserve"> </w:t>
      </w:r>
      <w:r>
        <w:rPr>
          <w:rStyle w:val="VerbatimChar"/>
        </w:rPr>
        <w:t xml:space="preserve">/Users/sanketk/Downloads/everpure-case-research/v3/EXHIBIT-sizing-v3.md</w:t>
      </w:r>
    </w:p>
    <w:bookmarkStart w:id="9" w:name="verdict-line-per-persona"/>
    <w:p>
      <w:pPr>
        <w:pStyle w:val="Heading2"/>
      </w:pPr>
      <w:r>
        <w:t xml:space="preserve">Verdict line per persona</w:t>
      </w:r>
    </w:p>
    <w:p>
      <w:pPr>
        <w:pStyle w:val="Compact"/>
        <w:numPr>
          <w:ilvl w:val="0"/>
          <w:numId w:val="1001"/>
        </w:numPr>
      </w:pPr>
      <w:r>
        <w:rPr>
          <w:b/>
          <w:bCs/>
        </w:rPr>
        <w:t xml:space="preserve">Product Director, Everpure Data Intelligence (would own shipping it):</w:t>
      </w:r>
      <w:r>
        <w:t xml:space="preserve"> </w:t>
      </w:r>
      <w:r>
        <w:t xml:space="preserve">"I would fund the H1 context-consumption experiment and the partner integrations, but I will not commit to the full plan as written — the H1 scope is physically impossible with a team that doesn't exist yet, and the warranty/security-budget motion starts an org war with the Cyber Resilience team that the memo doesn't even acknowledge."</w:t>
      </w:r>
    </w:p>
    <w:p>
      <w:pPr>
        <w:pStyle w:val="Compact"/>
        <w:numPr>
          <w:ilvl w:val="0"/>
          <w:numId w:val="1001"/>
        </w:numPr>
      </w:pPr>
      <w:r>
        <w:rPr>
          <w:b/>
          <w:bCs/>
        </w:rPr>
        <w:t xml:space="preserve">Distinguished Engineer, Everpure (would own the serving layer):</w:t>
      </w:r>
      <w:r>
        <w:t xml:space="preserve"> </w:t>
      </w:r>
      <w:r>
        <w:t xml:space="preserve">"I would build an embeddable context-attribute provider plus an attestation feed, but I will not sign up for the memo as written: a fail-closed, sub-20ms 'decision authority' serving entity-level context from a scan-fed batch graph is not buildable in two quarters, and several of its headline properties (freshness, local richness, decision ownership) contradict each other."</w:t>
      </w:r>
    </w:p>
    <w:p>
      <w:pPr>
        <w:pStyle w:val="Compact"/>
        <w:numPr>
          <w:ilvl w:val="0"/>
          <w:numId w:val="1001"/>
        </w:numPr>
      </w:pPr>
      <w:r>
        <w:rPr>
          <w:b/>
          <w:bCs/>
        </w:rPr>
        <w:t xml:space="preserve">CISO, global bank:</w:t>
      </w:r>
      <w:r>
        <w:t xml:space="preserve"> </w:t>
      </w:r>
      <w:r>
        <w:t xml:space="preserve">"I would accept a cheap context-feed pilot through my existing MCP gateway to test the mainframe-coverage claim, but I would not pay from the security budget for a 'decision authority' whose warranty explicitly excludes the only loss I get fired for — confidentiality — and whose accountability on a false allow lands entirely on me."</w:t>
      </w:r>
    </w:p>
    <w:p>
      <w:pPr>
        <w:pStyle w:val="Compact"/>
        <w:numPr>
          <w:ilvl w:val="0"/>
          <w:numId w:val="1001"/>
        </w:numPr>
      </w:pPr>
      <w:r>
        <w:rPr>
          <w:b/>
          <w:bCs/>
        </w:rPr>
        <w:t xml:space="preserve">CDO, global insurer:</w:t>
      </w:r>
      <w:r>
        <w:t xml:space="preserve"> </w:t>
      </w:r>
      <w:r>
        <w:t xml:space="preserve">"As written I would veto it at architecture review: I might pilot the attestation feed, but I will not let a storage vendor's inferred context graph feed runtime decisions about my data until it reconciles with my stewards' rulings in Collibra and someone other than me is contractually on the hook for a wrong allow."</w:t>
      </w:r>
    </w:p>
    <w:p>
      <w:pPr>
        <w:pStyle w:val="Compact"/>
        <w:numPr>
          <w:ilvl w:val="0"/>
          <w:numId w:val="1001"/>
        </w:numPr>
      </w:pPr>
      <w:r>
        <w:rPr>
          <w:b/>
          <w:bCs/>
        </w:rPr>
        <w:t xml:space="preserve">CPO, global pharma (buyer of record):</w:t>
      </w:r>
      <w:r>
        <w:t xml:space="preserve"> </w:t>
      </w:r>
      <w:r>
        <w:t xml:space="preserve">"I would sign a two-quarter paid pilot with a hard exit and pilot-only pricing, but nothing in this memo is signable as a multi-year commitment: the warranty that anchors the pitch does not exist yet, the liability flows the wrong way, and the vendor has pre-announced four conditions under which it narrows or kills the product."</w:t>
      </w:r>
    </w:p>
    <w:p>
      <w:pPr>
        <w:pStyle w:val="Compact"/>
        <w:numPr>
          <w:ilvl w:val="0"/>
          <w:numId w:val="1001"/>
        </w:numPr>
      </w:pPr>
      <w:r>
        <w:rPr>
          <w:b/>
          <w:bCs/>
        </w:rPr>
        <w:t xml:space="preserve">AI Platform Lead, large retailer:</w:t>
      </w:r>
      <w:r>
        <w:t xml:space="preserve"> </w:t>
      </w:r>
      <w:r>
        <w:t xml:space="preserve">"I would pilot this as a shadow-mode context feed into my OPA policies via the MCP gateway, but as written I would not let a fail-closed Everpure decision into my agents' hot path — the memo never specifies the failure semantics, integration shape, or operational contract that fight with my SRE team turns on."</w:t>
      </w:r>
    </w:p>
    <w:p>
      <w:pPr>
        <w:pStyle w:val="Compact"/>
        <w:numPr>
          <w:ilvl w:val="0"/>
          <w:numId w:val="1001"/>
        </w:numPr>
      </w:pPr>
      <w:r>
        <w:rPr>
          <w:b/>
          <w:bCs/>
        </w:rPr>
        <w:t xml:space="preserve">Director of Product, agent runtime / authorization platform (target design partner):</w:t>
      </w:r>
      <w:r>
        <w:t xml:space="preserve"> </w:t>
      </w:r>
      <w:r>
        <w:t xml:space="preserve">"Not on these terms — I'd happily pilot their graph as one more attribute source behind my PDP, but I will not embed their verdict, bundles, or brand in my decision path while they publicly reserve the right to buy my competitor at month 12 and offer me no economics, no indemnity, and no standstill."</w:t>
      </w:r>
    </w:p>
    <w:p>
      <w:pPr>
        <w:pStyle w:val="Compact"/>
        <w:numPr>
          <w:ilvl w:val="0"/>
          <w:numId w:val="1001"/>
        </w:numPr>
      </w:pPr>
      <w:r>
        <w:rPr>
          <w:b/>
          <w:bCs/>
        </w:rPr>
        <w:t xml:space="preserve">Senior underwriter, specialty cyber carrier:</w:t>
      </w:r>
      <w:r>
        <w:t xml:space="preserve"> </w:t>
      </w:r>
      <w:r>
        <w:t xml:space="preserve">"In year one I would back this only as a tightly conditioned, aggregate-capped, Rubrik-style marketing warranty fronted through a program administrator — not as genuine risk transfer on agent decisions — and the memo's 'we underwrite the decision' framing and the $346M Engine-2 number both lean on the stronger version that no carrier will write in H1."</w:t>
      </w:r>
    </w:p>
    <w:p>
      <w:pPr>
        <w:pStyle w:val="FirstParagraph"/>
      </w:pPr>
      <w:r>
        <w:t xml:space="preserve">The pattern across all eight: everyone accepts the pilot-sized version (context feed + attestation experiment). Nobody accepts the memo-sized version (decision authority + warranty + $500M).</w:t>
      </w:r>
    </w:p>
    <w:p>
      <w:r>
        <w:pict>
          <v:rect style="width:0;height:1.5pt" o:hralign="center" o:hrstd="t" o:hr="t"/>
        </w:pict>
      </w:r>
    </w:p>
    <w:bookmarkEnd w:id="9"/>
    <w:bookmarkStart w:id="23" w:name="the-genuine-gaps-cross-persona-synthesis"/>
    <w:p>
      <w:pPr>
        <w:pStyle w:val="Heading2"/>
      </w:pPr>
      <w:r>
        <w:t xml:space="preserve">The genuine gaps (cross-persona synthesis)</w:t>
      </w:r>
    </w:p>
    <w:p>
      <w:pPr>
        <w:pStyle w:val="FirstParagraph"/>
      </w:pPr>
      <w:r>
        <w:t xml:space="preserve">Ranked by how many personas independently hit each, then severity. Severity is the worst case among the personas who raised it.</w:t>
      </w:r>
    </w:p>
    <w:bookmarkStart w:id="10" w:name="Xc5eabc1a7f13b6a105bc08a05ec4a7e8c480274"/>
    <w:p>
      <w:pPr>
        <w:pStyle w:val="Heading3"/>
      </w:pPr>
      <w:r>
        <w:t xml:space="preserve">1. The warranty as pitched does not exist, does not cover the loss buyers fear, and applies to a thin slice of agent actions — yet it carries the differentiation claim and $346M of the sizing</w:t>
      </w:r>
    </w:p>
    <w:p>
      <w:pPr>
        <w:pStyle w:val="FirstParagraph"/>
      </w:pPr>
      <w:r>
        <w:rPr>
          <w:b/>
          <w:bCs/>
        </w:rPr>
        <w:t xml:space="preserve">Raised by:</w:t>
      </w:r>
      <w:r>
        <w:t xml:space="preserve"> </w:t>
      </w:r>
      <w:r>
        <w:t xml:space="preserve">CISO, CPO, AI Platform Lead, runtime partner, underwriter, Product Director — six of eight.</w:t>
      </w:r>
      <w:r>
        <w:t xml:space="preserve"> </w:t>
      </w:r>
      <w:r>
        <w:rPr>
          <w:b/>
          <w:bCs/>
        </w:rPr>
        <w:t xml:space="preserve">Severity: dealbreaker.</w:t>
      </w:r>
      <w:r>
        <w:t xml:space="preserve"> </w:t>
      </w:r>
      <w:r>
        <w:t xml:space="preserve">Four converging attacks. (a)</w:t>
      </w:r>
      <w:r>
        <w:t xml:space="preserve"> </w:t>
      </w:r>
      <w:r>
        <w:rPr>
          <w:i/>
          <w:iCs/>
        </w:rPr>
        <w:t xml:space="preserve">Coverage:</w:t>
      </w:r>
      <w:r>
        <w:t xml:space="preserve"> </w:t>
      </w:r>
      <w:r>
        <w:t xml:space="preserve">the warranty excludes confidentiality (data leaks) — the exact loss that ends a CISO's, CDO's, or pharma buyer's career — and covers reversible deletion/overwrite, a loss customers already have covered by SafeMode snapshots and backup contracts. The priced risk transfer duplicates protection the buyer owns; the unpriced risk stays 100% theirs. (b)</w:t>
      </w:r>
      <w:r>
        <w:t xml:space="preserve"> </w:t>
      </w:r>
      <w:r>
        <w:rPr>
          <w:i/>
          <w:iCs/>
        </w:rPr>
        <w:t xml:space="preserve">Scope:</w:t>
      </w:r>
      <w:r>
        <w:t xml:space="preserve"> </w:t>
      </w:r>
      <w:r>
        <w:t xml:space="preserve">coverage applies only to "data we physically hold" (Everpure arrays), but agent blast radius is overwhelmingly Databricks tables, SaaS records, and API side effects. The runtime partner asks the killing question: what percentage of intercepted agent actions in a real joint customer touch Everpure-managed data? If it's 10%, the warranty is a demo, not a moat. (c)</w:t>
      </w:r>
      <w:r>
        <w:t xml:space="preserve"> </w:t>
      </w:r>
      <w:r>
        <w:rPr>
          <w:i/>
          <w:iCs/>
        </w:rPr>
        <w:t xml:space="preserve">Timing:</w:t>
      </w:r>
      <w:r>
        <w:t xml:space="preserve"> </w:t>
      </w:r>
      <w:r>
        <w:t xml:space="preserve">at pilot signing there is no carrier, no caps, no claims process — H1 is spent</w:t>
      </w:r>
      <w:r>
        <w:t xml:space="preserve"> </w:t>
      </w:r>
      <w:r>
        <w:rPr>
          <w:i/>
          <w:iCs/>
        </w:rPr>
        <w:t xml:space="preserve">defining</w:t>
      </w:r>
      <w:r>
        <w:t xml:space="preserve"> </w:t>
      </w:r>
      <w:r>
        <w:t xml:space="preserve">the warranty, and §7.4 admits underwriting may fail. (d)</w:t>
      </w:r>
      <w:r>
        <w:t xml:space="preserve"> </w:t>
      </w:r>
      <w:r>
        <w:rPr>
          <w:i/>
          <w:iCs/>
        </w:rPr>
        <w:t xml:space="preserve">Framing:</w:t>
      </w:r>
      <w:r>
        <w:t xml:space="preserve"> </w:t>
      </w:r>
      <w:r>
        <w:t xml:space="preserve">the underwriter says the covered product is a Rubrik-style conditions-heavy marketing guarantee (fine as such), while the Recommendation claims "underwrite such a decision" — and the exhibit's own sanity check ("a priced cost of goods, not tail risk") concedes the marketing-sized version while Engine 2's +35% uplift is priced off the strong version.</w:t>
      </w:r>
      <w:r>
        <w:t xml:space="preserve"> </w:t>
      </w:r>
      <w:r>
        <w:rPr>
          <w:b/>
          <w:bCs/>
        </w:rPr>
        <w:t xml:space="preserve">Memo coverage:</w:t>
      </w:r>
      <w:r>
        <w:t xml:space="preserve"> </w:t>
      </w:r>
      <w:r>
        <w:t xml:space="preserve">partial. §8.4 states the confidentiality exclusion honestly; §7.4 gates on underwriting; §4 defers the warranty until loss data exists. What's missing is confronting that these honest admissions gut the BLUF's differentiation claim and Engine 2's premise.</w:t>
      </w:r>
      <w:r>
        <w:t xml:space="preserve"> </w:t>
      </w:r>
      <w:r>
        <w:rPr>
          <w:b/>
          <w:bCs/>
        </w:rPr>
        <w:t xml:space="preserve">Fix:</w:t>
      </w:r>
      <w:r>
        <w:t xml:space="preserve"> </w:t>
      </w:r>
      <w:r>
        <w:t xml:space="preserve">Rename it what it is — a capped, insurance-backed recovery guarantee, Rubrik-comparable — everywhere including the BLUF. Move the confidentiality exclusion into the Recommendation paragraph, not §8. Add a coverage-fraction estimate (share of agent-touchable data on Everpure infrastructure in a typical F500). Re-derive Engine 2 with a no-warranty bear case, since the warranty may not clear legal or underwriting until year two while Y3 assumes 30% attach.</w:t>
      </w:r>
    </w:p>
    <w:bookmarkEnd w:id="10"/>
    <w:bookmarkStart w:id="11" w:name="X71a0b8a34a8b79c1659792ccba99f033237027e"/>
    <w:p>
      <w:pPr>
        <w:pStyle w:val="Heading3"/>
      </w:pPr>
      <w:r>
        <w:t xml:space="preserve">2. "Decision authority" vs "verdict-as-recommendation" — the memo contradicts itself on the one question that decides who owns a wrong allow</w:t>
      </w:r>
    </w:p>
    <w:p>
      <w:pPr>
        <w:pStyle w:val="FirstParagraph"/>
      </w:pPr>
      <w:r>
        <w:rPr>
          <w:b/>
          <w:bCs/>
        </w:rPr>
        <w:t xml:space="preserve">Raised by:</w:t>
      </w:r>
      <w:r>
        <w:t xml:space="preserve"> </w:t>
      </w:r>
      <w:r>
        <w:t xml:space="preserve">CISO, CDO, CPO, runtime partner, DE — five of eight.</w:t>
      </w:r>
      <w:r>
        <w:t xml:space="preserve"> </w:t>
      </w:r>
      <w:r>
        <w:rPr>
          <w:b/>
          <w:bCs/>
        </w:rPr>
        <w:t xml:space="preserve">Severity: dealbreaker.</w:t>
      </w:r>
      <w:r>
        <w:t xml:space="preserve"> </w:t>
      </w:r>
      <w:r>
        <w:t xml:space="preserve">The Recommendation ships the service as "the decision authority every enforcement point calls." §3, §5, and §8.1 say the enforcement platform "retains the final decision and contractual veto" and Everpure only recommends. Both cannot be true, and each stakeholder reads the ambiguity as engineered against them. The CISO: on a warranted-but-wrong allow, the signed attestation becomes evidence</w:t>
      </w:r>
      <w:r>
        <w:t xml:space="preserve"> </w:t>
      </w:r>
      <w:r>
        <w:rPr>
          <w:i/>
          <w:iCs/>
        </w:rPr>
        <w:t xml:space="preserve">for</w:t>
      </w:r>
      <w:r>
        <w:t xml:space="preserve"> </w:t>
      </w:r>
      <w:r>
        <w:t xml:space="preserve">the regulator that he outsourced judgment to a storage company. The CDO calls it accountability laundering — Everpure points to the platform's veto, the platform points to Everpure's context, and nobody owns the bad allow. The CPO: the vendor is never the decision-maker of record, so its liability is structurally capped while the customer's regulatory exposure is uncapped. The runtime partner: "decision authority" claims his highest-margin layer while the veto language makes him the rubber stamp. The DE adds the technical version: since the partner assembles most of Appendix A's attributes and performs the join, this is an attribute provider (a PIP — policy information point — in access-control terms), not a decision authority.</w:t>
      </w:r>
      <w:r>
        <w:t xml:space="preserve"> </w:t>
      </w:r>
      <w:r>
        <w:rPr>
          <w:b/>
          <w:bCs/>
        </w:rPr>
        <w:t xml:space="preserve">Memo coverage:</w:t>
      </w:r>
      <w:r>
        <w:t xml:space="preserve"> </w:t>
      </w:r>
      <w:r>
        <w:t xml:space="preserve">partial — §8.1 describes the preserved-veto model as a mitigation, but nothing resolves accountability, and the BLUF actively contradicts it.</w:t>
      </w:r>
      <w:r>
        <w:t xml:space="preserve"> </w:t>
      </w:r>
      <w:r>
        <w:rPr>
          <w:b/>
          <w:bCs/>
        </w:rPr>
        <w:t xml:space="preserve">Fix:</w:t>
      </w:r>
      <w:r>
        <w:t xml:space="preserve"> </w:t>
      </w:r>
      <w:r>
        <w:t xml:space="preserve">Pick one sentence and use it everywhere: Everpure is the context, evidence, and recommendation provider; the enforcement platform is the decision authority of record. Then add the missing artifact — an accountability matrix (context wrong / policy wrong / enforcement wrong, with a remedy per cell) and some capped financial exposure for allows caused by materially wrong context. If Everpure wants to be paid as the decision layer, it must accept some decision-maker liability.</w:t>
      </w:r>
    </w:p>
    <w:bookmarkEnd w:id="11"/>
    <w:bookmarkStart w:id="12" w:name="X7c833b24ceca51ad88405260a853f39d1bb96ec"/>
    <w:p>
      <w:pPr>
        <w:pStyle w:val="Heading3"/>
      </w:pPr>
      <w:r>
        <w:t xml:space="preserve">3. The freshness claim and the fail-closed local-bundle architecture contradict each other — and both contradict the scan-fed graph underneath</w:t>
      </w:r>
    </w:p>
    <w:p>
      <w:pPr>
        <w:pStyle w:val="FirstParagraph"/>
      </w:pPr>
      <w:r>
        <w:rPr>
          <w:b/>
          <w:bCs/>
        </w:rPr>
        <w:t xml:space="preserve">Raised by:</w:t>
      </w:r>
      <w:r>
        <w:t xml:space="preserve"> </w:t>
      </w:r>
      <w:r>
        <w:t xml:space="preserve">DE, CISO, CDO, AI Platform Lead — four of eight.</w:t>
      </w:r>
      <w:r>
        <w:t xml:space="preserve"> </w:t>
      </w:r>
      <w:r>
        <w:rPr>
          <w:b/>
          <w:bCs/>
        </w:rPr>
        <w:t xml:space="preserve">Severity: dealbreaker.</w:t>
      </w:r>
      <w:r>
        <w:t xml:space="preserve"> </w:t>
      </w:r>
      <w:r>
        <w:t xml:space="preserve">Three-layer physics problem. Layer one: the 1touch graph is populated by periodic batch scans; "freshness" as served is the scan timestamp, not the data's state, and agent-generated data is invisible until the next scan. The escalation path for stale context is a "fresh online evaluation" — against the same scan-fed graph, which returns the same stale answer slower. Layer two: the sub-20ms path is served from locally cached bundles, which are stale by construction; the staleness window is exactly where the memo's own cited "valid credentials, wrong context" failure mode lives. Layer three: "fail-closed" means when bundle distribution breaks, every agent behind that enforcement point halts — a new correlated failure mode across a customer's whole fleet, and (CDO's point) mainframe estates with expensive rescan cycles are structurally the</w:t>
      </w:r>
      <w:r>
        <w:t xml:space="preserve"> </w:t>
      </w:r>
      <w:r>
        <w:rPr>
          <w:i/>
          <w:iCs/>
        </w:rPr>
        <w:t xml:space="preserve">most</w:t>
      </w:r>
      <w:r>
        <w:t xml:space="preserve"> </w:t>
      </w:r>
      <w:r>
        <w:t xml:space="preserve">blocked despite being the differentiation story. Enforced honestly, fail-closed-on-stale makes closed the steady state; set loosely, "freshness" is decorative. The AI Platform Lead adds: in practice fail-closed dies in the first Sev-1 when someone flips it to fail-open, silently changing the warranty story.</w:t>
      </w:r>
      <w:r>
        <w:t xml:space="preserve"> </w:t>
      </w:r>
      <w:r>
        <w:rPr>
          <w:b/>
          <w:bCs/>
        </w:rPr>
        <w:t xml:space="preserve">Memo coverage:</w:t>
      </w:r>
      <w:r>
        <w:t xml:space="preserve"> </w:t>
      </w:r>
      <w:r>
        <w:t xml:space="preserve">partial. §3 defines the stale-context escalation; §6 H2 promises freshness SLOs; §8.5 addresses cloud-dependency. None addresses where freshness would come from or what degraded mode looks like.</w:t>
      </w:r>
      <w:r>
        <w:t xml:space="preserve"> </w:t>
      </w:r>
      <w:r>
        <w:rPr>
          <w:b/>
          <w:bCs/>
        </w:rPr>
        <w:t xml:space="preserve">Fix:</w:t>
      </w:r>
      <w:r>
        <w:t xml:space="preserve"> </w:t>
      </w:r>
      <w:r>
        <w:t xml:space="preserve">Either fund an incremental-capture path (change-data-capture for databases; storage-native change detection on FlashArray/FlashBlade — the one place Everpure has a genuinely real-time signal) with per-source lag SLOs, or delete "freshness" from the pitch — it's the claim a partner security review falsifies first. Add the operational ladder the buyers demanded: shadow → advisory → enforcing modes, a max-staleness TTL with customer-elected behavior at expiry, push-invalidation for high-severity reclassifications, and per-action attested break-glass override.</w:t>
      </w:r>
    </w:p>
    <w:bookmarkEnd w:id="12"/>
    <w:bookmarkStart w:id="13" w:name="X36b9f9c3e00ae84541eb779aa490a7942caed88"/>
    <w:p>
      <w:pPr>
        <w:pStyle w:val="Heading3"/>
      </w:pPr>
      <w:r>
        <w:t xml:space="preserve">4. The H1 plan is 18–24 months of work assigned to a team that doesn't exist, with kill-gates clocked from memo approval</w:t>
      </w:r>
    </w:p>
    <w:p>
      <w:pPr>
        <w:pStyle w:val="FirstParagraph"/>
      </w:pPr>
      <w:r>
        <w:rPr>
          <w:b/>
          <w:bCs/>
        </w:rPr>
        <w:t xml:space="preserve">Raised by:</w:t>
      </w:r>
      <w:r>
        <w:t xml:space="preserve"> </w:t>
      </w:r>
      <w:r>
        <w:t xml:space="preserve">Product Director, DE, CPO, runtime partner, CISO — five of eight.</w:t>
      </w:r>
      <w:r>
        <w:t xml:space="preserve"> </w:t>
      </w:r>
      <w:r>
        <w:rPr>
          <w:b/>
          <w:bCs/>
        </w:rPr>
        <w:t xml:space="preserve">Severity: dealbreaker.</w:t>
      </w:r>
      <w:r>
        <w:t xml:space="preserve"> </w:t>
      </w:r>
      <w:r>
        <w:t xml:space="preserve">The 25-engineer low-latency serving team is treated as available at day zero; recruiting that profile into a storage company takes 2–3 quarters just to reach ~15 productive engineers, and the one hire that matters most — a leader who has actually operated a five-nines serving business — is the long pole. Meanwhile H1 commits to: a serving layer over a batch-built graph, a signing/PKI infrastructure that is named but never designed, a bundle distribution product (build, sign, distribute, rotate, revoke), two design-partner integrations, a controlled experiment on real agent traffic, and a production attestation feed. The DE's estimate: the honest version of that is 18–24 months. The §7 gates fire "within two quarters" — while the team is onboarding — so a kill decision would evaluate a prototype, and finance would read a missed fake deadline as product failure. The CISO adds an external clock: a regulated bank's critical-third-party onboarding alone takes 9–12 months. The Product Director adds the unfunded specialist sales overlay that test 3 secretly depends on.</w:t>
      </w:r>
      <w:r>
        <w:t xml:space="preserve"> </w:t>
      </w:r>
      <w:r>
        <w:rPr>
          <w:b/>
          <w:bCs/>
        </w:rPr>
        <w:t xml:space="preserve">Memo coverage:</w:t>
      </w:r>
      <w:r>
        <w:t xml:space="preserve"> </w:t>
      </w:r>
      <w:r>
        <w:t xml:space="preserve">partial. §6 names the team as new investment and §7 sets the gates — but there is no hiring plan, burn number (~$10–14M/yr), sequencing, or sales-capacity plan.</w:t>
      </w:r>
      <w:r>
        <w:t xml:space="preserve"> </w:t>
      </w:r>
      <w:r>
        <w:rPr>
          <w:b/>
          <w:bCs/>
        </w:rPr>
        <w:t xml:space="preserve">Fix:</w:t>
      </w:r>
      <w:r>
        <w:t xml:space="preserve"> </w:t>
      </w:r>
      <w:r>
        <w:t xml:space="preserve">Two options, both defensible: (a) shrink H1 to a 6–8 engineer tiger team proving §7.1 context consumption only, gating the 25-engineer build on that result; or (b) keep the scope but add a staffing plan with a named source and re-clock every §7 gate from team-formed, not memo-approved. State which gates are prototype-grade vs production-grade. Either way, count and fund the 3–4 specialist sellers test 3 needs, and start test 3's clock from first-seller-productive.</w:t>
      </w:r>
    </w:p>
    <w:bookmarkEnd w:id="13"/>
    <w:bookmarkStart w:id="14" w:name="X9bc77561cdfba59a0f09c970daf462c51712ff9"/>
    <w:p>
      <w:pPr>
        <w:pStyle w:val="Heading3"/>
      </w:pPr>
      <w:r>
        <w:t xml:space="preserve">5. Engine 2 — 70% of the $500M — is a storage-renewal pricing action that the memo's own falsification test defines as failure</w:t>
      </w:r>
    </w:p>
    <w:p>
      <w:pPr>
        <w:pStyle w:val="FirstParagraph"/>
      </w:pPr>
      <w:r>
        <w:rPr>
          <w:b/>
          <w:bCs/>
        </w:rPr>
        <w:t xml:space="preserve">Raised by:</w:t>
      </w:r>
      <w:r>
        <w:t xml:space="preserve"> </w:t>
      </w:r>
      <w:r>
        <w:t xml:space="preserve">Product Director, CISO, CPO, AI Platform Lead, underwriter — five of eight.</w:t>
      </w:r>
      <w:r>
        <w:t xml:space="preserve"> </w:t>
      </w:r>
      <w:r>
        <w:rPr>
          <w:b/>
          <w:bCs/>
        </w:rPr>
        <w:t xml:space="preserve">Severity: major (dealbreaker for the sizing's credibility).</w:t>
      </w:r>
      <w:r>
        <w:t xml:space="preserve"> </w:t>
      </w:r>
      <w:r>
        <w:t xml:space="preserve">$346M of the $496M base is a +35% uplift on Evergreen renewals, transacted "through the existing account and renewal process" (§6 H2). §7.3 says the bet fails if customers pay only through the storage renewal. So the economics are majority-funded by the motion the strategy calls failure. The CISO's mirror image: if it rides the renewal, infrastructure buys it, security never reviews it, and it displaces nothing in a vendor-consolidation year. The CPO's version: the "separately priced add-on" language is contradicted by an exhibit whose real plan is repricing his renewal. The Product Director adds two internal problems: revenue attribution (whose number does renewal uplift book to?) and the input quality — 30% attach is anchored to "SafeMode-style attach" with no actual SafeMode attach data cited.</w:t>
      </w:r>
      <w:r>
        <w:t xml:space="preserve"> </w:t>
      </w:r>
      <w:r>
        <w:rPr>
          <w:b/>
          <w:bCs/>
        </w:rPr>
        <w:t xml:space="preserve">Memo coverage:</w:t>
      </w:r>
      <w:r>
        <w:t xml:space="preserve"> </w:t>
      </w:r>
      <w:r>
        <w:t xml:space="preserve">partial. Exhibit A labels the base "aggressive," gives a bear case, and honestly says the bet "fails safe onto the installed base." The contradiction between the strategic claim and the revenue mix is unaddressed.</w:t>
      </w:r>
      <w:r>
        <w:t xml:space="preserve"> </w:t>
      </w:r>
      <w:r>
        <w:rPr>
          <w:b/>
          <w:bCs/>
        </w:rPr>
        <w:t xml:space="preserve">Fix:</w:t>
      </w:r>
      <w:r>
        <w:t xml:space="preserve"> </w:t>
      </w:r>
      <w:r>
        <w:t xml:space="preserve">Own it explicitly in the exhibit: the runtime-decision thesis and the revenue base are two different products, and that is deliberate downside protection. Pull real SafeMode attach-rate curves from finance to anchor the 30%. Restate the base with Engine 2 haircut to the no-warranty case, since that is the number the strategy actually stands on. Prepare the revenue-attribution answer (incremental SKU vs renewal uplift) before a GM asks.</w:t>
      </w:r>
    </w:p>
    <w:bookmarkEnd w:id="14"/>
    <w:bookmarkStart w:id="15" w:name="X6d4c6164f62a18faf41e9503791e17700e04350"/>
    <w:p>
      <w:pPr>
        <w:pStyle w:val="Heading3"/>
      </w:pPr>
      <w:r>
        <w:t xml:space="preserve">6. The H1 experiment proves the wrong thing: the baseline is context-blind, but the real competitor is the context the customer already has</w:t>
      </w:r>
    </w:p>
    <w:p>
      <w:pPr>
        <w:pStyle w:val="FirstParagraph"/>
      </w:pPr>
      <w:r>
        <w:rPr>
          <w:b/>
          <w:bCs/>
        </w:rPr>
        <w:t xml:space="preserve">Raised by:</w:t>
      </w:r>
      <w:r>
        <w:t xml:space="preserve"> </w:t>
      </w:r>
      <w:r>
        <w:t xml:space="preserve">CISO, AI Platform Lead, runtime partner, DE — four of eight.</w:t>
      </w:r>
      <w:r>
        <w:t xml:space="preserve"> </w:t>
      </w:r>
      <w:r>
        <w:rPr>
          <w:b/>
          <w:bCs/>
        </w:rPr>
        <w:t xml:space="preserve">Severity: dealbreaker.</w:t>
      </w:r>
      <w:r>
        <w:t xml:space="preserve"> </w:t>
      </w:r>
      <w:r>
        <w:t xml:space="preserve">Enterprise enforcement points are not context-blind today — they already consume Purview labels, Cyera/BigID DSPM classifications, and Unity Catalog lineage/ownership. The §6 H1 experiment (context-enriched vs context-blind) can only prove context helps, which nobody disputes; it cannot prove Everpure's context beats the incumbent stack at a price above zero. §7 test 1's threshold ("two production enforcement points use attributes beyond sensitivity labels") is trivially gameable — the runtime partner says outright he would consume the attributes at commodity prices, discard the recommendation, pass the test, and defeat the thesis. The genuinely novel slice — mainframe/legacy coverage at decision time — might be worth a gap-filler feed, not a platform.</w:t>
      </w:r>
      <w:r>
        <w:t xml:space="preserve"> </w:t>
      </w:r>
      <w:r>
        <w:rPr>
          <w:b/>
          <w:bCs/>
        </w:rPr>
        <w:t xml:space="preserve">Memo coverage:</w:t>
      </w:r>
      <w:r>
        <w:t xml:space="preserve"> </w:t>
      </w:r>
      <w:r>
        <w:t xml:space="preserve">partial. §8.2 names Cyera substitution; §8.3 names commoditization; the experiment and test exist — they just measure against the wrong baseline with too weak a bar.</w:t>
      </w:r>
      <w:r>
        <w:t xml:space="preserve"> </w:t>
      </w:r>
      <w:r>
        <w:rPr>
          <w:b/>
          <w:bCs/>
        </w:rPr>
        <w:t xml:space="preserve">Fix:</w:t>
      </w:r>
      <w:r>
        <w:t xml:space="preserve"> </w:t>
      </w:r>
      <w:r>
        <w:t xml:space="preserve">Add a third experiment arm — incumbent context (Purview/DSPM/Unity) — and publish the false-allow delta of Everpure-context over it. Strengthen test 1: context attributes must</w:t>
      </w:r>
      <w:r>
        <w:t xml:space="preserve"> </w:t>
      </w:r>
      <w:r>
        <w:rPr>
          <w:i/>
          <w:iCs/>
        </w:rPr>
        <w:t xml:space="preserve">change</w:t>
      </w:r>
      <w:r>
        <w:t xml:space="preserve"> </w:t>
      </w:r>
      <w:r>
        <w:t xml:space="preserve">≥N% of verdicts with a lower false-deny rate, at a customer that already runs a catalog + DSPM stack. If the delta concentrates in mainframe-touching actions, say so and price it as a coverage extension.</w:t>
      </w:r>
    </w:p>
    <w:bookmarkEnd w:id="15"/>
    <w:bookmarkStart w:id="16" w:name="X1ad20a2fbc1b8432871c92062b04d4b42d6fb7d"/>
    <w:p>
      <w:pPr>
        <w:pStyle w:val="Heading3"/>
      </w:pPr>
      <w:r>
        <w:t xml:space="preserve">7. The runtime architecture is underspecified where it matters: what fits in the bundle, what the integration artifact is, and how an action maps to a resource</w:t>
      </w:r>
    </w:p>
    <w:p>
      <w:pPr>
        <w:pStyle w:val="FirstParagraph"/>
      </w:pPr>
      <w:r>
        <w:rPr>
          <w:b/>
          <w:bCs/>
        </w:rPr>
        <w:t xml:space="preserve">Raised by:</w:t>
      </w:r>
      <w:r>
        <w:t xml:space="preserve"> </w:t>
      </w:r>
      <w:r>
        <w:t xml:space="preserve">DE, AI Platform Lead — two of eight, but both would-be builders/integrators.</w:t>
      </w:r>
      <w:r>
        <w:t xml:space="preserve"> </w:t>
      </w:r>
      <w:r>
        <w:rPr>
          <w:b/>
          <w:bCs/>
        </w:rPr>
        <w:t xml:space="preserve">Severity: dealbreaker.</w:t>
      </w:r>
      <w:r>
        <w:t xml:space="preserve"> </w:t>
      </w:r>
      <w:r>
        <w:t xml:space="preserve">The DE's core objection: a Fortune-500 graph is terabytes of entity-level state; a shippable bundle carries dataset-level rollups — which is exactly what Purview and catalogs already emit. On the only path that meets the latency SLO, the differentiated inputs (record-level lineage, entity relationships) may not survive projection. Second, unmentioned anywhere: the caller must map an action (a SQL string, an API call) to concrete resource IDs in the graph</w:t>
      </w:r>
      <w:r>
        <w:t xml:space="preserve"> </w:t>
      </w:r>
      <w:r>
        <w:rPr>
          <w:i/>
          <w:iCs/>
        </w:rPr>
        <w:t xml:space="preserve">before</w:t>
      </w:r>
      <w:r>
        <w:t xml:space="preserve"> </w:t>
      </w:r>
      <w:r>
        <w:t xml:space="preserve">execution — hard, and often only knowable after the fact. The AI Platform Lead can't even open the SRE argument: SDK, sidecar, or gateway plugin? Who maintains the OPA/Cedar bindings? And p95 &lt;20ms per decision is 0.6–1.0s per workflow at 30–50 tool calls — there is no aggregate budget or prefetch story.</w:t>
      </w:r>
      <w:r>
        <w:t xml:space="preserve"> </w:t>
      </w:r>
      <w:r>
        <w:rPr>
          <w:b/>
          <w:bCs/>
        </w:rPr>
        <w:t xml:space="preserve">Memo coverage:</w:t>
      </w:r>
      <w:r>
        <w:t xml:space="preserve"> </w:t>
      </w:r>
      <w:r>
        <w:t xml:space="preserve">no (test 2 gates latency and security review, not fidelity or integration shape).</w:t>
      </w:r>
      <w:r>
        <w:t xml:space="preserve"> </w:t>
      </w:r>
      <w:r>
        <w:rPr>
          <w:b/>
          <w:bCs/>
        </w:rPr>
        <w:t xml:space="preserve">Fix:</w:t>
      </w:r>
      <w:r>
        <w:t xml:space="preserve"> </w:t>
      </w:r>
      <w:r>
        <w:t xml:space="preserve">A bundle spec (schema, size budget, per-enforcement-point scoping) and a measured "attribute survival rate" added to §7 test 2 as a pass condition alongside latency; a reference architecture (in-process plugin, context prefetched at session start, &lt;2% workflow overhead budget); and an action→resource-resolution pass condition (≥90% of intercepted actions resolved pre-execution).</w:t>
      </w:r>
    </w:p>
    <w:bookmarkEnd w:id="16"/>
    <w:bookmarkStart w:id="17" w:name="X52ed3790baf85224060994fe2133d2d69edd35a"/>
    <w:p>
      <w:pPr>
        <w:pStyle w:val="Heading3"/>
      </w:pPr>
      <w:r>
        <w:t xml:space="preserve">8. The month-12 acquisition option poisons the exact partners H1 depends on</w:t>
      </w:r>
    </w:p>
    <w:p>
      <w:pPr>
        <w:pStyle w:val="FirstParagraph"/>
      </w:pPr>
      <w:r>
        <w:rPr>
          <w:b/>
          <w:bCs/>
        </w:rPr>
        <w:t xml:space="preserve">Raised by:</w:t>
      </w:r>
      <w:r>
        <w:t xml:space="preserve"> </w:t>
      </w:r>
      <w:r>
        <w:t xml:space="preserve">runtime partner (dealbreaker), Product Director.</w:t>
      </w:r>
      <w:r>
        <w:t xml:space="preserve"> </w:t>
      </w:r>
      <w:r>
        <w:rPr>
          <w:b/>
          <w:bCs/>
        </w:rPr>
        <w:t xml:space="preserve">Severity: dealbreaker.</w:t>
      </w:r>
      <w:r>
        <w:t xml:space="preserve"> </w:t>
      </w:r>
      <w:r>
        <w:t xml:space="preserve">§5 reserves the option to acquire an agent-runtime company at ~month 12; Exhibit A already books ~$400M from an "Arcade-class" acquisition at Y5. The design partner's integration work produces the exact "consumption signals" that trigger the buy — so the partner is the R&amp;D lab for its own future competitor, with no standstill, no economics beyond one buried "~40% partner share" exhibit line, no indemnity, and channel conflict absent from §8 entirely. The Product Director adds: nobody funds or staffs the corp-dev diligence, and the acquisition quietly re-adds every risk §5's "Do Not Build" removed.</w:t>
      </w:r>
      <w:r>
        <w:t xml:space="preserve"> </w:t>
      </w:r>
      <w:r>
        <w:rPr>
          <w:b/>
          <w:bCs/>
        </w:rPr>
        <w:t xml:space="preserve">Memo coverage:</w:t>
      </w:r>
      <w:r>
        <w:t xml:space="preserve"> </w:t>
      </w:r>
      <w:r>
        <w:t xml:space="preserve">partial — §5 gates the acquisition on consumption signals; Exhibit A labels Y5 an ambition. The partner-facing conflict is nowhere.</w:t>
      </w:r>
      <w:r>
        <w:t xml:space="preserve"> </w:t>
      </w:r>
      <w:r>
        <w:rPr>
          <w:b/>
          <w:bCs/>
        </w:rPr>
        <w:t xml:space="preserve">Fix:</w:t>
      </w:r>
      <w:r>
        <w:t xml:space="preserve"> </w:t>
      </w:r>
      <w:r>
        <w:t xml:space="preserve">Strike acquisition intent from anything partner-facing. Internally, name corp-dev as owner of a month-12 decision memo. For the design-partner term sheet: defined economics (the 40% made real), a standstill for the integration term, telemetry/IP firewalls, and no exclusivity Everpure would regret.</w:t>
      </w:r>
    </w:p>
    <w:bookmarkEnd w:id="17"/>
    <w:bookmarkStart w:id="18" w:name="Xcb99671d430cdf3cefa8d841931a566273e7255"/>
    <w:p>
      <w:pPr>
        <w:pStyle w:val="Heading3"/>
      </w:pPr>
      <w:r>
        <w:t xml:space="preserve">9. Nobody has designed the operations of being in someone else's execution path — on-call, incident ownership, SLA penalties, vendor-risk onboarding</w:t>
      </w:r>
    </w:p>
    <w:p>
      <w:pPr>
        <w:pStyle w:val="FirstParagraph"/>
      </w:pPr>
      <w:r>
        <w:rPr>
          <w:b/>
          <w:bCs/>
        </w:rPr>
        <w:t xml:space="preserve">Raised by:</w:t>
      </w:r>
      <w:r>
        <w:t xml:space="preserve"> </w:t>
      </w:r>
      <w:r>
        <w:t xml:space="preserve">Product Director, AI Platform Lead, runtime partner, CISO, DE — five of eight.</w:t>
      </w:r>
      <w:r>
        <w:t xml:space="preserve"> </w:t>
      </w:r>
      <w:r>
        <w:rPr>
          <w:b/>
          <w:bCs/>
        </w:rPr>
        <w:t xml:space="preserve">Severity: major.</w:t>
      </w:r>
      <w:r>
        <w:t xml:space="preserve"> </w:t>
      </w:r>
      <w:r>
        <w:t xml:space="preserve">Fail-closed means Everpure's bundle-pipeline failure halts customers' agents at 2am inside their P1. Everpure has no 24/7 request-serving SRE org, no support tier trained on decision-path debugging, no experience passing a partner production-readiness review — and a real 24/7 rotation consumes ~8–10 of the 25 engineers by itself. Publishing SLOs implies SLA credits and penalty liability nobody has signed up for. The runtime partner wants SLOs in H1 (before integrating), an incident-command runbook, and kill-switch semantics he controls. The CISO wants a security whitepaper: graph tenancy and residency, signing-key custody, SOC 2 for the Data Intelligence service specifically, and a DORA critical-third-party pack (DORA is the EU's operational-resilience regulation that puts inline vendors on a supervised register).</w:t>
      </w:r>
      <w:r>
        <w:t xml:space="preserve"> </w:t>
      </w:r>
      <w:r>
        <w:rPr>
          <w:b/>
          <w:bCs/>
        </w:rPr>
        <w:t xml:space="preserve">Memo coverage:</w:t>
      </w:r>
      <w:r>
        <w:t xml:space="preserve"> </w:t>
      </w:r>
      <w:r>
        <w:t xml:space="preserve">partial — §8.5 answers the architecture question (availability), not the operations question.</w:t>
      </w:r>
      <w:r>
        <w:t xml:space="preserve"> </w:t>
      </w:r>
      <w:r>
        <w:rPr>
          <w:b/>
          <w:bCs/>
        </w:rPr>
        <w:t xml:space="preserve">Fix:</w:t>
      </w:r>
      <w:r>
        <w:t xml:space="preserve"> </w:t>
      </w:r>
      <w:r>
        <w:t xml:space="preserve">An operating-model section: on-call staffing, support tiers, finance-reviewed SLA penalty caps, and the security/compliance pack as an H1 exit criterion. Name the five-nines operations leader as the critical first hire.</w:t>
      </w:r>
    </w:p>
    <w:bookmarkEnd w:id="18"/>
    <w:bookmarkStart w:id="19" w:name="X99470d71b9b38c203adcf4074cfa1c5780cd305"/>
    <w:p>
      <w:pPr>
        <w:pStyle w:val="Heading3"/>
      </w:pPr>
      <w:r>
        <w:t xml:space="preserve">10. The insurance program has no structure, the peril is correlated, and both sides of the contract are incentivized toward more approvals</w:t>
      </w:r>
    </w:p>
    <w:p>
      <w:pPr>
        <w:pStyle w:val="FirstParagraph"/>
      </w:pPr>
      <w:r>
        <w:rPr>
          <w:b/>
          <w:bCs/>
        </w:rPr>
        <w:t xml:space="preserve">Raised by:</w:t>
      </w:r>
      <w:r>
        <w:t xml:space="preserve"> </w:t>
      </w:r>
      <w:r>
        <w:t xml:space="preserve">underwriter (dealbreaker), CPO, CISO.</w:t>
      </w:r>
      <w:r>
        <w:t xml:space="preserve"> </w:t>
      </w:r>
      <w:r>
        <w:rPr>
          <w:b/>
          <w:bCs/>
        </w:rPr>
        <w:t xml:space="preserve">Severity: dealbreaker.</w:t>
      </w:r>
      <w:r>
        <w:t xml:space="preserve"> </w:t>
      </w:r>
      <w:r>
        <w:t xml:space="preserve">One defective bundle push or one popular jailbreak pattern hits the entire warranted book in the same week — a single occurrence across every insured, the shape reinsurers refuse. Per-customer caps do nothing at portfolio level; the memo has no aggregate cap, no occurrence definition, no named carrier structure. Claims adjudication routes entirely through Everpure's own telemetry — the insured grades its own homework (the CPO independently raised the same point). Moral hazard runs both ways: customers loosen guardrails because it's warrantied (the CISO's internal-weaponization worry); Everpure is paid on decision consumption, so the party whose approvals create the exposure earns more by approving more. And one covered peril — recovery-point modification — destroys the recovery mechanism the whole reversibility premise rests on: an adversary who reads the warranty targets the snapshots first.</w:t>
      </w:r>
      <w:r>
        <w:t xml:space="preserve"> </w:t>
      </w:r>
      <w:r>
        <w:rPr>
          <w:b/>
          <w:bCs/>
        </w:rPr>
        <w:t xml:space="preserve">Memo coverage:</w:t>
      </w:r>
      <w:r>
        <w:t xml:space="preserve"> </w:t>
      </w:r>
      <w:r>
        <w:t xml:space="preserve">partial — §7.4 gates on underwriting; §6 H1 names the insurer workstream. Structure, correlation, independence, and moral hazard are absent.</w:t>
      </w:r>
      <w:r>
        <w:t xml:space="preserve"> </w:t>
      </w:r>
      <w:r>
        <w:rPr>
          <w:b/>
          <w:bCs/>
        </w:rPr>
        <w:t xml:space="preserve">Fix:</w:t>
      </w:r>
      <w:r>
        <w:t xml:space="preserve"> </w:t>
      </w:r>
      <w:r>
        <w:t xml:space="preserve">One paragraph committing to a year-one structure: Everpure-issued warranty with meaningful self-retained first loss, carrier stop-loss, program administrator for claims, hard annual aggregate cap, attestation stream escrowed to a third party, and SafeMode immutability (agent-unreachable retention) as a condition precedent to coverage — with recovery-point modification excluded or heavily sublimited.</w:t>
      </w:r>
    </w:p>
    <w:bookmarkEnd w:id="19"/>
    <w:bookmarkStart w:id="20" w:name="X8fb436b8724b4d9f92e7e7638cd1276769f39f7"/>
    <w:p>
      <w:pPr>
        <w:pStyle w:val="Heading3"/>
      </w:pPr>
      <w:r>
        <w:t xml:space="preserve">11. The data-governance office can veto the deployment, and the memo routes around it — with no reconciliation against the customer's catalogs of record</w:t>
      </w:r>
    </w:p>
    <w:p>
      <w:pPr>
        <w:pStyle w:val="FirstParagraph"/>
      </w:pPr>
      <w:r>
        <w:rPr>
          <w:b/>
          <w:bCs/>
        </w:rPr>
        <w:t xml:space="preserve">Raised by:</w:t>
      </w:r>
      <w:r>
        <w:t xml:space="preserve"> </w:t>
      </w:r>
      <w:r>
        <w:t xml:space="preserve">CDO (two dealbreakers), overlapping DE.</w:t>
      </w:r>
      <w:r>
        <w:t xml:space="preserve"> </w:t>
      </w:r>
      <w:r>
        <w:rPr>
          <w:b/>
          <w:bCs/>
        </w:rPr>
        <w:t xml:space="preserve">Severity: dealbreaker.</w:t>
      </w:r>
      <w:r>
        <w:t xml:space="preserve"> </w:t>
      </w:r>
      <w:r>
        <w:t xml:space="preserve">Enterprises already have adjudicated systems of record for the attributes this engine serves: steward rulings in Collibra, enforced tags in Unity Catalog. The memo never says what happens when Everpure's scanner-inferred class disagrees with a steward's ruling — every disagreement is a wrong block or an unauthorized allow, plus a third catalog to reconcile. Worse, Appendix A makes ownership and business purpose decision inputs, but those are curated organizational facts a scanner has never produced; the unstated staffing plan is the customer's governance office working for free. And §4's GTM optimizes for the buyer with money (security/AI-platform) while ignoring the stakeholder with veto power — the classic 18-month stalled regulated-industry deployment.</w:t>
      </w:r>
      <w:r>
        <w:t xml:space="preserve"> </w:t>
      </w:r>
      <w:r>
        <w:rPr>
          <w:b/>
          <w:bCs/>
        </w:rPr>
        <w:t xml:space="preserve">Memo coverage:</w:t>
      </w:r>
      <w:r>
        <w:t xml:space="preserve"> </w:t>
      </w:r>
      <w:r>
        <w:t xml:space="preserve">no (governance stakeholders get one mention in pilot discovery).</w:t>
      </w:r>
      <w:r>
        <w:t xml:space="preserve"> </w:t>
      </w:r>
      <w:r>
        <w:rPr>
          <w:b/>
          <w:bCs/>
        </w:rPr>
        <w:t xml:space="preserve">Fix:</w:t>
      </w:r>
      <w:r>
        <w:t xml:space="preserve"> </w:t>
      </w:r>
      <w:r>
        <w:t xml:space="preserve">P0 connectors to Collibra and Unity with an explicit precedence rule (steward ruling overrides inference at decision time), a steward workbench with attribute provenance (inferred / curated / unknown), a rule that verdicts never bind on inferred organizational facts, and the CDO office as a named sign-off gate and served customer (route Engine 3 through governance budget).</w:t>
      </w:r>
    </w:p>
    <w:bookmarkEnd w:id="20"/>
    <w:bookmarkStart w:id="21" w:name="X318e03bb03475c75020e5dabe8a7271e00bcf8f"/>
    <w:p>
      <w:pPr>
        <w:pStyle w:val="Heading3"/>
      </w:pPr>
      <w:r>
        <w:t xml:space="preserve">12. The internal org war: the warranty and security-buyer motion is the sibling Cyber Resilience team's lane</w:t>
      </w:r>
    </w:p>
    <w:p>
      <w:pPr>
        <w:pStyle w:val="FirstParagraph"/>
      </w:pPr>
      <w:r>
        <w:rPr>
          <w:b/>
          <w:bCs/>
        </w:rPr>
        <w:t xml:space="preserve">Raised by:</w:t>
      </w:r>
      <w:r>
        <w:t xml:space="preserve"> </w:t>
      </w:r>
      <w:r>
        <w:t xml:space="preserve">Product Director only — but it's the person who would own shipping this, and he calls it a dealbreaker.</w:t>
      </w:r>
      <w:r>
        <w:t xml:space="preserve"> </w:t>
      </w:r>
      <w:r>
        <w:rPr>
          <w:b/>
          <w:bCs/>
        </w:rPr>
        <w:t xml:space="preserve">Severity: dealbreaker.</w:t>
      </w:r>
      <w:r>
        <w:t xml:space="preserve"> </w:t>
      </w:r>
      <w:r>
        <w:t xml:space="preserve">Data Analytics &amp; Cyber Resilience owns the security buyer, the resilience narrative, and the SafeMode story this warranty physically leans on. Engine 2 is a warranty-led uplift on</w:t>
      </w:r>
      <w:r>
        <w:t xml:space="preserve"> </w:t>
      </w:r>
      <w:r>
        <w:rPr>
          <w:i/>
          <w:iCs/>
        </w:rPr>
        <w:t xml:space="preserve">their</w:t>
      </w:r>
      <w:r>
        <w:t xml:space="preserve"> </w:t>
      </w:r>
      <w:r>
        <w:t xml:space="preserve">renewal motion, run out of Data Intelligence. Every specialist seller is contested headcount. Without a charter decision above both GMs, this dies in org friction before a design partner signs.</w:t>
      </w:r>
      <w:r>
        <w:t xml:space="preserve"> </w:t>
      </w:r>
      <w:r>
        <w:rPr>
          <w:b/>
          <w:bCs/>
        </w:rPr>
        <w:t xml:space="preserve">Memo coverage:</w:t>
      </w:r>
      <w:r>
        <w:t xml:space="preserve"> </w:t>
      </w:r>
      <w:r>
        <w:t xml:space="preserve">no.</w:t>
      </w:r>
      <w:r>
        <w:t xml:space="preserve"> </w:t>
      </w:r>
      <w:r>
        <w:rPr>
          <w:b/>
          <w:bCs/>
        </w:rPr>
        <w:t xml:space="preserve">Fix:</w:t>
      </w:r>
      <w:r>
        <w:t xml:space="preserve"> </w:t>
      </w:r>
      <w:r>
        <w:t xml:space="preserve">A one-page org proposal co-signed before funding: who owns the warranty SKU, who owns the security buyer, where Engine 2 revenue books, joint venture vs charter transfer. In a case-study setting: acknowledge the dependency explicitly rather than pretending the org chart is empty.</w:t>
      </w:r>
    </w:p>
    <w:bookmarkEnd w:id="21"/>
    <w:bookmarkStart w:id="22" w:name="X2bc3d8815094a577b9f566871ea650b04d7a0b4"/>
    <w:p>
      <w:pPr>
        <w:pStyle w:val="Heading3"/>
      </w:pPr>
      <w:r>
        <w:t xml:space="preserve">13. Regulatory acceptance and exit: the attestation is audit evidence, not oversight — and EU AI Act logging outlives the contract</w:t>
      </w:r>
    </w:p>
    <w:p>
      <w:pPr>
        <w:pStyle w:val="FirstParagraph"/>
      </w:pPr>
      <w:r>
        <w:rPr>
          <w:b/>
          <w:bCs/>
        </w:rPr>
        <w:t xml:space="preserve">Raised by:</w:t>
      </w:r>
      <w:r>
        <w:t xml:space="preserve"> </w:t>
      </w:r>
      <w:r>
        <w:t xml:space="preserve">CDO, CPO.</w:t>
      </w:r>
      <w:r>
        <w:t xml:space="preserve"> </w:t>
      </w:r>
      <w:r>
        <w:rPr>
          <w:b/>
          <w:bCs/>
        </w:rPr>
        <w:t xml:space="preserve">Severity: major.</w:t>
      </w:r>
      <w:r>
        <w:t xml:space="preserve"> </w:t>
      </w:r>
      <w:r>
        <w:t xml:space="preserve">Engine 3 prices ~870 customers at $70K against EU AI Act Article 12 lifetime logging, but no supervisory authority has accepted a vendor attestation as discharging deployer oversight duties, and when a blessed action turns out to be unlawful processing, the fine lands on the customer while Everpure's exposure is restoration costs. The CPO adds the exit problem: "lifetime" means the AI system's lifetime, not the subscription's — who warrants access to and offline verifiability of signed records a decade after termination? No export format, no key escrow, no post-termination verification path is stated anywhere; a related unbuilt layer is the signing infrastructure itself (trust roots, per-site key provisioning, rotation, revocation), which the DE notes is named in the first sentence and designed nowhere.</w:t>
      </w:r>
      <w:r>
        <w:t xml:space="preserve"> </w:t>
      </w:r>
      <w:r>
        <w:rPr>
          <w:b/>
          <w:bCs/>
        </w:rPr>
        <w:t xml:space="preserve">Memo coverage:</w:t>
      </w:r>
      <w:r>
        <w:t xml:space="preserve"> </w:t>
      </w:r>
      <w:r>
        <w:t xml:space="preserve">partial — §2 cites the Act's dates; §6 H1 hedges the launch. Acceptance, liability, and portability are unaddressed.</w:t>
      </w:r>
      <w:r>
        <w:t xml:space="preserve"> </w:t>
      </w:r>
      <w:r>
        <w:rPr>
          <w:b/>
          <w:bCs/>
        </w:rPr>
        <w:t xml:space="preserve">Fix:</w:t>
      </w:r>
      <w:r>
        <w:t xml:space="preserve"> </w:t>
      </w:r>
      <w:r>
        <w:t xml:space="preserve">An attestation-to-obligation crosswalk reviewed by external counsel; evidence of engagement with one EU supervisory authority or notified body; a data-portability schedule (open export formats, offline verification tooling, key escrow); and a key-management architecture before any partner integration.</w:t>
      </w:r>
    </w:p>
    <w:p>
      <w:r>
        <w:pict>
          <v:rect style="width:0;height:1.5pt" o:hralign="center" o:hrstd="t" o:hr="t"/>
        </w:pict>
      </w:r>
    </w:p>
    <w:bookmarkEnd w:id="22"/>
    <w:bookmarkEnd w:id="23"/>
    <w:bookmarkStart w:id="24" w:name="gaps-the-memo-already-answers"/>
    <w:p>
      <w:pPr>
        <w:pStyle w:val="Heading2"/>
      </w:pPr>
      <w:r>
        <w:t xml:space="preserve">Gaps the memo already answers</w:t>
      </w:r>
    </w:p>
    <w:p>
      <w:pPr>
        <w:pStyle w:val="FirstParagraph"/>
      </w:pPr>
      <w:r>
        <w:t xml:space="preserve">Don't over-fix these — several personas explicitly credited them.</w:t>
      </w:r>
    </w:p>
    <w:p>
      <w:pPr>
        <w:pStyle w:val="Compact"/>
        <w:numPr>
          <w:ilvl w:val="0"/>
          <w:numId w:val="1002"/>
        </w:numPr>
      </w:pPr>
      <w:r>
        <w:rPr>
          <w:b/>
          <w:bCs/>
        </w:rPr>
        <w:t xml:space="preserve">The core adoption risk is named and tested.</w:t>
      </w:r>
      <w:r>
        <w:t xml:space="preserve"> </w:t>
      </w:r>
      <w:r>
        <w:t xml:space="preserve">§7 test 1 + the §6 H1 dual-evaluation experiment directly attack the load-bearing assumption (platforms consuming rich third-party context). The AI Platform Lead called it "the right test"; the complaint is the baseline and threshold, not the existence.</w:t>
      </w:r>
    </w:p>
    <w:p>
      <w:pPr>
        <w:pStyle w:val="Compact"/>
        <w:numPr>
          <w:ilvl w:val="0"/>
          <w:numId w:val="1002"/>
        </w:numPr>
      </w:pPr>
      <w:r>
        <w:rPr>
          <w:b/>
          <w:bCs/>
        </w:rPr>
        <w:t xml:space="preserve">Falsification discipline with predefined fallbacks.</w:t>
      </w:r>
      <w:r>
        <w:t xml:space="preserve"> </w:t>
      </w:r>
      <w:r>
        <w:t xml:space="preserve">All four §7 tests have kill conditions and fallbacks; the CPO marked this "fully disclosed" (his issue was contractual, not analytical). Exhibit A's "fails safe onto the installed base" framing was repeatedly credited as honest.</w:t>
      </w:r>
    </w:p>
    <w:p>
      <w:pPr>
        <w:pStyle w:val="Compact"/>
        <w:numPr>
          <w:ilvl w:val="0"/>
          <w:numId w:val="1002"/>
        </w:numPr>
      </w:pPr>
      <w:r>
        <w:rPr>
          <w:b/>
          <w:bCs/>
        </w:rPr>
        <w:t xml:space="preserve">The confidentiality exclusion is stated plainly.</w:t>
      </w:r>
      <w:r>
        <w:t xml:space="preserve"> </w:t>
      </w:r>
      <w:r>
        <w:t xml:space="preserve">§8.4 does not hide the warranty's biggest limit. The gap is placement (buried in §8, contradicted by the BLUF), not honesty.</w:t>
      </w:r>
    </w:p>
    <w:p>
      <w:pPr>
        <w:pStyle w:val="Compact"/>
        <w:numPr>
          <w:ilvl w:val="0"/>
          <w:numId w:val="1002"/>
        </w:numPr>
      </w:pPr>
      <w:r>
        <w:rPr>
          <w:b/>
          <w:bCs/>
        </w:rPr>
        <w:t xml:space="preserve">The synchronous-dependency problem is anticipated.</w:t>
      </w:r>
      <w:r>
        <w:t xml:space="preserve"> </w:t>
      </w:r>
      <w:r>
        <w:t xml:space="preserve">§8.5's local fail-closed bundles answer the "storage vendor in my hot path calling its cloud" objection; every technical persona accepted the architecture intent and attacked the operations around it.</w:t>
      </w:r>
    </w:p>
    <w:p>
      <w:pPr>
        <w:pStyle w:val="Compact"/>
        <w:numPr>
          <w:ilvl w:val="0"/>
          <w:numId w:val="1002"/>
        </w:numPr>
      </w:pPr>
      <w:r>
        <w:rPr>
          <w:b/>
          <w:bCs/>
        </w:rPr>
        <w:t xml:space="preserve">Cyera substitution and commoditization are acknowledged.</w:t>
      </w:r>
      <w:r>
        <w:t xml:space="preserve"> </w:t>
      </w:r>
      <w:r>
        <w:t xml:space="preserve">§8.2 and §8.3 name the exact risks the CISO and runtime partner raised; the fixes need strengthening, but the risks aren't missing.</w:t>
      </w:r>
    </w:p>
    <w:p>
      <w:pPr>
        <w:pStyle w:val="Compact"/>
        <w:numPr>
          <w:ilvl w:val="0"/>
          <w:numId w:val="1002"/>
        </w:numPr>
      </w:pPr>
      <w:r>
        <w:rPr>
          <w:b/>
          <w:bCs/>
        </w:rPr>
        <w:t xml:space="preserve">Do-not-build discipline.</w:t>
      </w:r>
      <w:r>
        <w:t xml:space="preserve"> </w:t>
      </w:r>
      <w:r>
        <w:t xml:space="preserve">§5's refusal to build an inline runtime, with reasons (new buyer, HA execution path, new competition), was credited — the criticism is that the Y5 acquisition line quietly re-adds what §5 removed.</w:t>
      </w:r>
    </w:p>
    <w:p>
      <w:pPr>
        <w:pStyle w:val="Compact"/>
        <w:numPr>
          <w:ilvl w:val="0"/>
          <w:numId w:val="1002"/>
        </w:numPr>
      </w:pPr>
      <w:r>
        <w:rPr>
          <w:b/>
          <w:bCs/>
        </w:rPr>
        <w:t xml:space="preserve">Partner-veto positioning as an adoption mitigation.</w:t>
      </w:r>
      <w:r>
        <w:t xml:space="preserve"> </w:t>
      </w:r>
      <w:r>
        <w:t xml:space="preserve">§8.1's recommendation-not-verdict model is the right instinct for partner adoption; it just needs to be the</w:t>
      </w:r>
      <w:r>
        <w:t xml:space="preserve"> </w:t>
      </w:r>
      <w:r>
        <w:rPr>
          <w:i/>
          <w:iCs/>
        </w:rPr>
        <w:t xml:space="preserve">only</w:t>
      </w:r>
      <w:r>
        <w:t xml:space="preserve"> </w:t>
      </w:r>
      <w:r>
        <w:t xml:space="preserve">story (see gap 2).</w:t>
      </w:r>
    </w:p>
    <w:p>
      <w:pPr>
        <w:pStyle w:val="Compact"/>
        <w:numPr>
          <w:ilvl w:val="0"/>
          <w:numId w:val="1002"/>
        </w:numPr>
      </w:pPr>
      <w:r>
        <w:rPr>
          <w:b/>
          <w:bCs/>
        </w:rPr>
        <w:t xml:space="preserve">Exhibit self-awareness.</w:t>
      </w:r>
      <w:r>
        <w:t xml:space="preserve"> </w:t>
      </w:r>
      <w:r>
        <w:t xml:space="preserve">Base labeled "aggressive," Y5 labeled "an ambition with gates, not a forecast," bear cases per engine, and the v2-vs-v3 trade stated consciously.</w:t>
      </w:r>
    </w:p>
    <w:p>
      <w:r>
        <w:pict>
          <v:rect style="width:0;height:1.5pt" o:hralign="center" o:hrstd="t" o:hr="t"/>
        </w:pict>
      </w:r>
    </w:p>
    <w:bookmarkEnd w:id="24"/>
    <w:bookmarkStart w:id="25" w:name="claims-a-hostile-reader-will-fact-check"/>
    <w:p>
      <w:pPr>
        <w:pStyle w:val="Heading2"/>
      </w:pPr>
      <w:r>
        <w:t xml:space="preserve">Claims a hostile reader will fact-check</w:t>
      </w:r>
    </w:p>
    <w:p>
      <w:pPr>
        <w:pStyle w:val="FirstParagraph"/>
      </w:pPr>
      <w:r>
        <w:t xml:space="preserve">Every persona flagged some subset of these. Seven of eight flagged the first two.</w:t>
      </w:r>
    </w:p>
    <w:p>
      <w:pPr>
        <w:pStyle w:val="Compact"/>
        <w:numPr>
          <w:ilvl w:val="0"/>
          <w:numId w:val="1003"/>
        </w:numPr>
      </w:pPr>
      <w:r>
        <w:rPr>
          <w:b/>
          <w:bCs/>
        </w:rPr>
        <w:t xml:space="preserve">The "March 2026 Meta incident" [14]</w:t>
      </w:r>
      <w:r>
        <w:t xml:space="preserve"> </w:t>
      </w:r>
      <w:r>
        <w:t xml:space="preserve">— the single concrete proof of the missing-context thesis. The bank CISO's threat-intel team "has no record of it." If it can't be primary-sourced, the empirical spine of §2 collapses.</w:t>
      </w:r>
      <w:r>
        <w:t xml:space="preserve"> </w:t>
      </w:r>
      <w:r>
        <w:rPr>
          <w:b/>
          <w:bCs/>
        </w:rPr>
        <w:t xml:space="preserve">Verify or cut; if real, lead with it harder; if not, the 40%-Copilot-delay stat [8] carries the point without the exposure.</w:t>
      </w:r>
    </w:p>
    <w:p>
      <w:pPr>
        <w:pStyle w:val="Compact"/>
        <w:numPr>
          <w:ilvl w:val="0"/>
          <w:numId w:val="1003"/>
        </w:numPr>
      </w:pPr>
      <w:r>
        <w:rPr>
          <w:b/>
          <w:bCs/>
        </w:rPr>
        <w:t xml:space="preserve">"97% of AI-related breaches involved organizations lacking AI access controls" [15]</w:t>
      </w:r>
      <w:r>
        <w:t xml:space="preserve"> </w:t>
      </w:r>
      <w:r>
        <w:t xml:space="preserve">— multiple personas identified this as the IBM Cost of a Data Breach figure: computed over the small subsample of orgs that had an AI breach, and it's about</w:t>
      </w:r>
      <w:r>
        <w:t xml:space="preserve"> </w:t>
      </w:r>
      <w:r>
        <w:rPr>
          <w:i/>
          <w:iCs/>
        </w:rPr>
        <w:t xml:space="preserve">access controls</w:t>
      </w:r>
      <w:r>
        <w:t xml:space="preserve"> </w:t>
      </w:r>
      <w:r>
        <w:t xml:space="preserve">— an identity/authorization gap, which argues for Okta/CyberArk, not a context graph. As used it's both misquoted and self-undermining.</w:t>
      </w:r>
      <w:r>
        <w:t xml:space="preserve"> </w:t>
      </w:r>
      <w:r>
        <w:rPr>
          <w:b/>
          <w:bCs/>
        </w:rPr>
        <w:t xml:space="preserve">Restate with the honest denominator or drop.</w:t>
      </w:r>
    </w:p>
    <w:p>
      <w:pPr>
        <w:pStyle w:val="Compact"/>
        <w:numPr>
          <w:ilvl w:val="0"/>
          <w:numId w:val="1003"/>
        </w:numPr>
      </w:pPr>
      <w:r>
        <w:rPr>
          <w:b/>
          <w:bCs/>
        </w:rPr>
        <w:t xml:space="preserve">"$21B CyberArk acquisition" [5]</w:t>
      </w:r>
      <w:r>
        <w:t xml:space="preserve"> </w:t>
      </w:r>
      <w:r>
        <w:t xml:space="preserve">— the Palo Alto–CyberArk deal was announced at roughly $25B. Getting a security buyer's own vendor's price wrong invites a fact-check of everything else.</w:t>
      </w:r>
      <w:r>
        <w:t xml:space="preserve"> </w:t>
      </w:r>
      <w:r>
        <w:rPr>
          <w:b/>
          <w:bCs/>
        </w:rPr>
        <w:t xml:space="preserve">Correct.</w:t>
      </w:r>
    </w:p>
    <w:p>
      <w:pPr>
        <w:pStyle w:val="Compact"/>
        <w:numPr>
          <w:ilvl w:val="0"/>
          <w:numId w:val="1003"/>
        </w:numPr>
      </w:pPr>
      <w:r>
        <w:rPr>
          <w:b/>
          <w:bCs/>
        </w:rPr>
        <w:t xml:space="preserve">Riskified "$60.8B of outstanding decision guarantees on $345M revenue" (Exhibit A)</w:t>
      </w:r>
      <w:r>
        <w:t xml:space="preserve"> </w:t>
      </w:r>
      <w:r>
        <w:t xml:space="preserve">— likely conflates GMV reviewed with guarantee liability, and the underwriter says the comparison is structurally invalid anyway: millions of independent small bets with decades of loss data vs a few highly correlated bets with zero.</w:t>
      </w:r>
      <w:r>
        <w:t xml:space="preserve"> </w:t>
      </w:r>
      <w:r>
        <w:rPr>
          <w:b/>
          <w:bCs/>
        </w:rPr>
        <w:t xml:space="preserve">Pull the 10-K, restate the metric, and caveat or drop the analogy.</w:t>
      </w:r>
    </w:p>
    <w:p>
      <w:pPr>
        <w:pStyle w:val="Compact"/>
        <w:numPr>
          <w:ilvl w:val="0"/>
          <w:numId w:val="1003"/>
        </w:numPr>
      </w:pPr>
      <w:r>
        <w:rPr>
          <w:b/>
          <w:bCs/>
        </w:rPr>
        <w:t xml:space="preserve">Rubrik $10M warranty precedent (Engine 2 basis)</w:t>
      </w:r>
      <w:r>
        <w:t xml:space="preserve"> </w:t>
      </w:r>
      <w:r>
        <w:t xml:space="preserve">— famous in the insurance market as a conditions-heavy marketing instrument with negligible payout history. As cited it supports the</w:t>
      </w:r>
      <w:r>
        <w:t xml:space="preserve"> </w:t>
      </w:r>
      <w:r>
        <w:rPr>
          <w:i/>
          <w:iCs/>
        </w:rPr>
        <w:t xml:space="preserve">critics'</w:t>
      </w:r>
      <w:r>
        <w:t xml:space="preserve"> </w:t>
      </w:r>
      <w:r>
        <w:t xml:space="preserve">case.</w:t>
      </w:r>
      <w:r>
        <w:t xml:space="preserve"> </w:t>
      </w:r>
      <w:r>
        <w:rPr>
          <w:b/>
          <w:bCs/>
        </w:rPr>
        <w:t xml:space="preserve">Reframe as precedent for the year-one shape (small, capped, conditioned), not for a $346M risk-transfer-led tier. Same for the "Cysurance model" name-drop.</w:t>
      </w:r>
    </w:p>
    <w:p>
      <w:pPr>
        <w:pStyle w:val="Compact"/>
        <w:numPr>
          <w:ilvl w:val="0"/>
          <w:numId w:val="1003"/>
        </w:numPr>
      </w:pPr>
      <w:r>
        <w:rPr>
          <w:b/>
          <w:bCs/>
        </w:rPr>
        <w:t xml:space="preserve">30% Engine-2 attach anchored to "SafeMode-style attach" and a "v2 pricing study"</w:t>
      </w:r>
      <w:r>
        <w:t xml:space="preserve"> </w:t>
      </w:r>
      <w:r>
        <w:t xml:space="preserve">— no actual SafeMode attach data cited; the Product Director suspects the real three-year number is well under 30%.</w:t>
      </w:r>
      <w:r>
        <w:t xml:space="preserve"> </w:t>
      </w:r>
      <w:r>
        <w:rPr>
          <w:b/>
          <w:bCs/>
        </w:rPr>
        <w:t xml:space="preserve">Pull the real curve from finance before repeating the number.</w:t>
      </w:r>
    </w:p>
    <w:p>
      <w:pPr>
        <w:pStyle w:val="Compact"/>
        <w:numPr>
          <w:ilvl w:val="0"/>
          <w:numId w:val="1003"/>
        </w:numPr>
      </w:pPr>
      <w:r>
        <w:rPr>
          <w:b/>
          <w:bCs/>
        </w:rPr>
        <w:t xml:space="preserve">"$392M of venture funding around one RSAC" [4]</w:t>
      </w:r>
      <w:r>
        <w:t xml:space="preserve"> </w:t>
      </w:r>
      <w:r>
        <w:t xml:space="preserve">— needs a source basket.</w:t>
      </w:r>
      <w:r>
        <w:t xml:space="preserve"> </w:t>
      </w:r>
      <w:r>
        <w:rPr>
          <w:b/>
          <w:bCs/>
        </w:rPr>
        <w:t xml:space="preserve">Source or soften.</w:t>
      </w:r>
    </w:p>
    <w:p>
      <w:pPr>
        <w:pStyle w:val="Compact"/>
        <w:numPr>
          <w:ilvl w:val="0"/>
          <w:numId w:val="1003"/>
        </w:numPr>
      </w:pPr>
      <w:r>
        <w:rPr>
          <w:b/>
          <w:bCs/>
        </w:rPr>
        <w:t xml:space="preserve">Gartner predictions [6]</w:t>
      </w:r>
      <w:r>
        <w:t xml:space="preserve"> </w:t>
      </w:r>
      <w:r>
        <w:t xml:space="preserve">— directionally fine, but the CISO notes a bank CFO doesn't accept analyst predictions as evidence for net-new spend.</w:t>
      </w:r>
      <w:r>
        <w:t xml:space="preserve"> </w:t>
      </w:r>
      <w:r>
        <w:rPr>
          <w:b/>
          <w:bCs/>
        </w:rPr>
        <w:t xml:space="preserve">Keep, but don't lean on them as proof.</w:t>
      </w:r>
    </w:p>
    <w:p>
      <w:pPr>
        <w:pStyle w:val="Compact"/>
        <w:numPr>
          <w:ilvl w:val="0"/>
          <w:numId w:val="1003"/>
        </w:numPr>
      </w:pPr>
      <w:r>
        <w:rPr>
          <w:b/>
          <w:bCs/>
        </w:rPr>
        <w:t xml:space="preserve">"No decisionplane anywhere consumes lineage… at decision time" [12]</w:t>
      </w:r>
      <w:r>
        <w:t xml:space="preserve"> </w:t>
      </w:r>
      <w:r>
        <w:t xml:space="preserve">— an absolute claim about every product in a fast-moving market; Cyera's MCP feed (which §8.2 itself concedes) is a near-counterexample.</w:t>
      </w:r>
      <w:r>
        <w:t xml:space="preserve"> </w:t>
      </w:r>
      <w:r>
        <w:rPr>
          <w:b/>
          <w:bCs/>
        </w:rPr>
        <w:t xml:space="preserve">Soften to "no widely deployed…" and date-stamp it.</w:t>
      </w:r>
    </w:p>
    <w:p>
      <w:r>
        <w:pict>
          <v:rect style="width:0;height:1.5pt" o:hralign="center" o:hrstd="t" o:hr="t"/>
        </w:pict>
      </w:r>
    </w:p>
    <w:bookmarkEnd w:id="25"/>
    <w:bookmarkStart w:id="26" w:name="presentation-hygiene"/>
    <w:p>
      <w:pPr>
        <w:pStyle w:val="Heading2"/>
      </w:pPr>
      <w:r>
        <w:t xml:space="preserve">Presentation hygiene</w:t>
      </w:r>
    </w:p>
    <w:p>
      <w:pPr>
        <w:pStyle w:val="FirstParagraph"/>
      </w:pPr>
      <w:r>
        <w:t xml:space="preserve">Multiple personas said the same thing: the analysis is better than its presentation, and a memo asking for 25 engineers and contractual liability cannot look unproofread.</w:t>
      </w:r>
    </w:p>
    <w:p>
      <w:pPr>
        <w:pStyle w:val="Compact"/>
        <w:numPr>
          <w:ilvl w:val="0"/>
          <w:numId w:val="1004"/>
        </w:numPr>
      </w:pPr>
      <w:r>
        <w:t xml:space="preserve">"Sized</w:t>
      </w:r>
      <w:r>
        <w:t xml:space="preserve"> </w:t>
      </w:r>
      <w:r>
        <w:rPr>
          <w:b/>
          <w:bCs/>
        </w:rPr>
        <w:t xml:space="preserve">honeestly</w:t>
      </w:r>
      <w:r>
        <w:t xml:space="preserve">" — in the ARR sentence, the most-quoted line in the memo.</w:t>
      </w:r>
    </w:p>
    <w:p>
      <w:pPr>
        <w:pStyle w:val="Compact"/>
        <w:numPr>
          <w:ilvl w:val="0"/>
          <w:numId w:val="1004"/>
        </w:numPr>
      </w:pPr>
      <w:r>
        <w:t xml:space="preserve">"</w:t>
      </w:r>
      <w:r>
        <w:rPr>
          <w:b/>
          <w:bCs/>
        </w:rPr>
        <w:t xml:space="preserve">decisionplane</w:t>
      </w:r>
      <w:r>
        <w:t xml:space="preserve">" (missing space), "</w:t>
      </w:r>
      <w:r>
        <w:rPr>
          <w:b/>
          <w:bCs/>
        </w:rPr>
        <w:t xml:space="preserve">Appendix a</w:t>
      </w:r>
      <w:r>
        <w:t xml:space="preserve">" floating as an orphaned fragment between §3 and §4.</w:t>
      </w:r>
    </w:p>
    <w:p>
      <w:pPr>
        <w:pStyle w:val="Compact"/>
        <w:numPr>
          <w:ilvl w:val="0"/>
          <w:numId w:val="1004"/>
        </w:numPr>
      </w:pPr>
      <w:r>
        <w:t xml:space="preserve">Section numbering: unnumbered "Recommendation" / "Market and customer" / "Competitive landscape," then jumps to "## 3. The bet"; heading levels inconsistent (§5 and §6 aren't markdown headings).</w:t>
      </w:r>
    </w:p>
    <w:p>
      <w:pPr>
        <w:pStyle w:val="Compact"/>
        <w:numPr>
          <w:ilvl w:val="0"/>
          <w:numId w:val="1004"/>
        </w:numPr>
      </w:pPr>
      <w:r>
        <w:t xml:space="preserve">Word-count line at the top of the document — remove before circulation.</w:t>
      </w:r>
    </w:p>
    <w:p>
      <w:pPr>
        <w:pStyle w:val="Compact"/>
        <w:numPr>
          <w:ilvl w:val="0"/>
          <w:numId w:val="1004"/>
        </w:numPr>
      </w:pPr>
      <w:r>
        <w:t xml:space="preserve">Dangling superscripts: "graph1" (Recommendation), "barrier to scaling2" (§2) — resolve or delete.</w:t>
      </w:r>
    </w:p>
    <w:p>
      <w:pPr>
        <w:pStyle w:val="Compact"/>
        <w:numPr>
          <w:ilvl w:val="0"/>
          <w:numId w:val="1004"/>
        </w:numPr>
      </w:pPr>
      <w:r>
        <w:t xml:space="preserve">Doubled period: "owning the verdict itself.." (§2); scattered double spaces.</w:t>
      </w:r>
    </w:p>
    <w:p>
      <w:pPr>
        <w:pStyle w:val="Compact"/>
        <w:numPr>
          <w:ilvl w:val="0"/>
          <w:numId w:val="1004"/>
        </w:numPr>
      </w:pPr>
      <w:r>
        <w:rPr>
          <w:b/>
          <w:bCs/>
        </w:rPr>
        <w:t xml:space="preserve">Substantive, not cosmetic:</w:t>
      </w:r>
      <w:r>
        <w:t xml:space="preserve"> </w:t>
      </w:r>
      <w:r>
        <w:t xml:space="preserve">the Recommendation says "sub-50-millisecond" while §6/§7 target "p95 below 20 milliseconds." These are two different architectural claims (full online evaluation vs local routine path). Reconcile explicitly — the AI Platform Lead flagged that this distinction is load-bearing.</w:t>
      </w:r>
    </w:p>
    <w:p>
      <w:pPr>
        <w:pStyle w:val="Compact"/>
        <w:numPr>
          <w:ilvl w:val="0"/>
          <w:numId w:val="1004"/>
        </w:numPr>
      </w:pPr>
      <w:r>
        <w:t xml:space="preserve">The deepest consistency defect is gap 2: "decision authority" (Recommendation) vs "verdict-as-recommendation" (§3/§8.1). Fix the words as part of fixing the position.</w:t>
      </w:r>
    </w:p>
    <w:p>
      <w:r>
        <w:pict>
          <v:rect style="width:0;height:1.5pt" o:hralign="center" o:hrstd="t" o:hr="t"/>
        </w:pict>
      </w:r>
    </w:p>
    <w:bookmarkEnd w:id="26"/>
    <w:bookmarkStart w:id="27" w:name="the-five-changes-worth-making-first"/>
    <w:p>
      <w:pPr>
        <w:pStyle w:val="Heading2"/>
      </w:pPr>
      <w:r>
        <w:t xml:space="preserve">The five changes worth making first</w:t>
      </w:r>
    </w:p>
    <w:p>
      <w:pPr>
        <w:pStyle w:val="FirstParagraph"/>
      </w:pPr>
      <w:r>
        <w:t xml:space="preserve">Ranked by impact per hour of effort.</w:t>
      </w:r>
    </w:p>
    <w:p>
      <w:pPr>
        <w:pStyle w:val="Compact"/>
        <w:numPr>
          <w:ilvl w:val="0"/>
          <w:numId w:val="1005"/>
        </w:numPr>
      </w:pPr>
      <w:r>
        <w:rPr>
          <w:b/>
          <w:bCs/>
        </w:rPr>
        <w:t xml:space="preserve">One proofreading-and-facts pass (hours).</w:t>
      </w:r>
      <w:r>
        <w:t xml:space="preserve"> </w:t>
      </w:r>
      <w:r>
        <w:t xml:space="preserve">Fix the typos, numbering, word-count header, and superscripts; verify or cut the Meta incident; restate the 97% stat with its real denominator; correct $21B→~$25B; restate the Riskified metric and reframe Rubrik/Cysurance as precedent for a small capped guarantee. This single pass removes the cheapest ways for a hostile panel to discount everything else.</w:t>
      </w:r>
    </w:p>
    <w:p>
      <w:pPr>
        <w:pStyle w:val="Compact"/>
        <w:numPr>
          <w:ilvl w:val="0"/>
          <w:numId w:val="1005"/>
        </w:numPr>
      </w:pPr>
      <w:r>
        <w:rPr>
          <w:b/>
          <w:bCs/>
        </w:rPr>
        <w:t xml:space="preserve">Resolve verdict-vs-signal in one sentence and use it everywhere (an hour).</w:t>
      </w:r>
      <w:r>
        <w:t xml:space="preserve"> </w:t>
      </w:r>
      <w:r>
        <w:t xml:space="preserve">Rewrite the BLUF: Everpure is the context, evidence, and recommendation layer; enforcement platforms are the decision authority of record; where Everpure manages the data, approved recoverable actions carry a capped recovery guarantee. This one edit defuses the CISO, CDO, CPO, and runtime-partner dealbreakers on accountability, and aligns the pitch with the architecture the memo already believes in (§3, §8.1).</w:t>
      </w:r>
    </w:p>
    <w:p>
      <w:pPr>
        <w:pStyle w:val="Compact"/>
        <w:numPr>
          <w:ilvl w:val="0"/>
          <w:numId w:val="1005"/>
        </w:numPr>
      </w:pPr>
      <w:r>
        <w:rPr>
          <w:b/>
          <w:bCs/>
        </w:rPr>
        <w:t xml:space="preserve">Make the warranty honest in the BLUF and re-derive Engine 2 (half a day).</w:t>
      </w:r>
      <w:r>
        <w:t xml:space="preserve"> </w:t>
      </w:r>
      <w:r>
        <w:t xml:space="preserve">Name the confidentiality exclusion and the Everpure-held-data scope up front; add an Engine 2 bear case with no warranty at all; anchor the 30% attach to real SafeMode data or flag it as unverified. The sizing survives smaller and honest; it does not survive the underwriter or CPO reading it as-is.</w:t>
      </w:r>
    </w:p>
    <w:p>
      <w:pPr>
        <w:pStyle w:val="Compact"/>
        <w:numPr>
          <w:ilvl w:val="0"/>
          <w:numId w:val="1005"/>
        </w:numPr>
      </w:pPr>
      <w:r>
        <w:rPr>
          <w:b/>
          <w:bCs/>
        </w:rPr>
        <w:t xml:space="preserve">Fix the experiment so it can actually prove the thesis (a day of design).</w:t>
      </w:r>
      <w:r>
        <w:t xml:space="preserve"> </w:t>
      </w:r>
      <w:r>
        <w:t xml:space="preserve">Add the incumbent-context third arm (Purview/DSPM/Unity baseline); raise test 1's bar to "context attributes change ≥N% of verdicts with lower false denies"; add bundle attribute-fidelity and action→resource-resolution pass conditions to test 2; re-clock all §7 gates from team-formed, not memo-approved.</w:t>
      </w:r>
    </w:p>
    <w:p>
      <w:pPr>
        <w:pStyle w:val="Compact"/>
        <w:numPr>
          <w:ilvl w:val="0"/>
          <w:numId w:val="1005"/>
        </w:numPr>
      </w:pPr>
      <w:r>
        <w:rPr>
          <w:b/>
          <w:bCs/>
        </w:rPr>
        <w:t xml:space="preserve">Add a half-page of execution reality (half a day).</w:t>
      </w:r>
      <w:r>
        <w:t xml:space="preserve"> </w:t>
      </w:r>
      <w:r>
        <w:t xml:space="preserve">Staffing: shrink H1 to a tiger team gating the 25-engineer build, or show the hiring plan and burn. Operations: one paragraph on on-call, SLA exposure, and the security/compliance pack as an H1 exit criterion. And strike the acquisition intent from anything a design partner will ever see.</w:t>
      </w:r>
    </w:p>
    <w:p>
      <w:r>
        <w:pict>
          <v:rect style="width:0;height:1.5pt" o:hralign="center" o:hrstd="t" o:hr="t"/>
        </w:pict>
      </w:r>
    </w:p>
    <w:bookmarkEnd w:id="27"/>
    <w:bookmarkStart w:id="28" w:name="X12c9533ad9e36704c7785c677ad85bdcb87e007"/>
    <w:p>
      <w:pPr>
        <w:pStyle w:val="Heading2"/>
      </w:pPr>
      <w:r>
        <w:t xml:space="preserve">What to say if asked "what are this strategy's weaknesses?"</w:t>
      </w:r>
    </w:p>
    <w:p>
      <w:pPr>
        <w:pStyle w:val="FirstParagraph"/>
      </w:pPr>
      <w:r>
        <w:t xml:space="preserve">"Three real ones. First, the warranty is smaller than it sounds: it excludes confidentiality — the loss security buyers actually fear — and it only covers data on our own arrays, so in year one it's a capped recovery guarantee in the Rubrik mold, not true risk transfer; I've deliberately kept an Engine 2 case that assumes no warranty at all. Second, 70% of the base case is renewal uplift on the installed base, which is downside protection but means the revenue and the strategic thesis are two different products — the falsification tests exist precisely to tell us within two quarters whether the standalone decision business is real or whether we ship it as a differentiated storage feature. Third, the plan asks a storage company to operate a five-nines service in other people's execution paths with a team we haven't hired, so the honest H1 is a small tiger team proving context consumption, with the gates clocked from when the team exists — not from when this memo is approved. The thing that would actually kill it isn't competition; it's discovering that enforcement platforms will take our attributes at commodity prices and keep the judgment layer for themselves, which is why test 1 measures whether our context changes verdicts, not whether anyone consumes it."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2026-07-20T01:43:18Z</dcterms:created>
  <dcterms:modified xsi:type="dcterms:W3CDTF">2026-07-20T01:43:18Z</dcterms:modified>
</cp:coreProperties>
</file>

<file path=docProps/custom.xml><?xml version="1.0" encoding="utf-8"?>
<Properties xmlns="http://schemas.openxmlformats.org/officeDocument/2006/custom-properties" xmlns:vt="http://schemas.openxmlformats.org/officeDocument/2006/docPropsVTypes"/>
</file>