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682A3" w14:textId="3E756C4C" w:rsidR="00EA3A13" w:rsidRPr="008C3236" w:rsidRDefault="00C52200" w:rsidP="00C52200">
      <w:pPr>
        <w:pStyle w:val="Paper-Title"/>
        <w:spacing w:after="0"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8C3236">
        <w:rPr>
          <w:rFonts w:ascii="Times New Roman" w:hAnsi="Times New Roman"/>
          <w:sz w:val="24"/>
          <w:szCs w:val="24"/>
        </w:rPr>
        <w:t>TEMPLATE</w:t>
      </w:r>
    </w:p>
    <w:p w14:paraId="743C0AC0" w14:textId="77777777" w:rsidR="00C52200" w:rsidRPr="008C3236" w:rsidRDefault="00C52200" w:rsidP="00EA3A13">
      <w:pPr>
        <w:pStyle w:val="Paper-Title"/>
        <w:spacing w:after="0"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1F95C219" w14:textId="39D7EEFF" w:rsidR="000D7DF1" w:rsidRPr="008C3236" w:rsidRDefault="00C6319C" w:rsidP="00EA3A13">
      <w:pPr>
        <w:pStyle w:val="Paper-Title"/>
        <w:spacing w:after="0" w:line="360" w:lineRule="auto"/>
        <w:ind w:firstLine="0"/>
        <w:rPr>
          <w:rFonts w:ascii="Times New Roman" w:hAnsi="Times New Roman"/>
          <w:sz w:val="24"/>
          <w:szCs w:val="24"/>
        </w:rPr>
      </w:pPr>
      <w:r w:rsidRPr="008C3236">
        <w:rPr>
          <w:rFonts w:ascii="Times New Roman" w:hAnsi="Times New Roman"/>
          <w:sz w:val="24"/>
          <w:szCs w:val="24"/>
        </w:rPr>
        <w:t>TITLE</w:t>
      </w:r>
      <w:r w:rsidR="00672480" w:rsidRPr="008C3236">
        <w:rPr>
          <w:rFonts w:ascii="Times New Roman" w:hAnsi="Times New Roman"/>
          <w:sz w:val="24"/>
          <w:szCs w:val="24"/>
        </w:rPr>
        <w:t xml:space="preserve"> of</w:t>
      </w:r>
      <w:r w:rsidR="000D7DF1" w:rsidRPr="008C3236">
        <w:rPr>
          <w:rFonts w:ascii="Times New Roman" w:hAnsi="Times New Roman"/>
          <w:sz w:val="24"/>
          <w:szCs w:val="24"/>
        </w:rPr>
        <w:t xml:space="preserve"> Extended Abstract</w:t>
      </w:r>
    </w:p>
    <w:p w14:paraId="4EFB9314" w14:textId="77777777" w:rsidR="00935D77" w:rsidRPr="008C3236" w:rsidRDefault="00935D77" w:rsidP="00935D77">
      <w:pPr>
        <w:pStyle w:val="Heading1"/>
        <w:spacing w:before="0" w:line="360" w:lineRule="auto"/>
        <w:rPr>
          <w:rFonts w:ascii="Times New Roman" w:hAnsi="Times New Roman"/>
          <w:sz w:val="24"/>
          <w:szCs w:val="24"/>
        </w:rPr>
      </w:pPr>
    </w:p>
    <w:p w14:paraId="5C4CA9CD" w14:textId="77CC0B52" w:rsidR="00935D77" w:rsidRPr="008C3236" w:rsidRDefault="00935D77" w:rsidP="00935D77">
      <w:pPr>
        <w:pStyle w:val="Heading1"/>
        <w:spacing w:before="0" w:line="360" w:lineRule="auto"/>
        <w:rPr>
          <w:rFonts w:ascii="Times New Roman" w:hAnsi="Times New Roman"/>
          <w:sz w:val="24"/>
          <w:szCs w:val="24"/>
        </w:rPr>
      </w:pPr>
      <w:r w:rsidRPr="008C3236">
        <w:rPr>
          <w:rFonts w:ascii="Times New Roman" w:hAnsi="Times New Roman"/>
          <w:sz w:val="24"/>
          <w:szCs w:val="24"/>
        </w:rPr>
        <w:t>Abstract</w:t>
      </w:r>
    </w:p>
    <w:p w14:paraId="190D2F8F" w14:textId="31062D05" w:rsidR="00935D77" w:rsidRPr="008C3236" w:rsidRDefault="00F113A3" w:rsidP="00935D77">
      <w:pPr>
        <w:spacing w:after="0" w:line="360" w:lineRule="auto"/>
        <w:ind w:firstLine="0"/>
        <w:rPr>
          <w:sz w:val="24"/>
          <w:szCs w:val="24"/>
        </w:rPr>
      </w:pPr>
      <w:r w:rsidRPr="008C3236">
        <w:rPr>
          <w:bCs/>
          <w:sz w:val="24"/>
          <w:szCs w:val="24"/>
        </w:rPr>
        <w:t>The abstract should describe and present a scholarly research, practical advances, best practices, and educational projects</w:t>
      </w:r>
      <w:r w:rsidRPr="008C3236">
        <w:rPr>
          <w:sz w:val="24"/>
          <w:szCs w:val="24"/>
        </w:rPr>
        <w:t xml:space="preserve">. </w:t>
      </w:r>
      <w:r w:rsidR="00BB1692" w:rsidRPr="008C3236">
        <w:rPr>
          <w:bCs/>
          <w:sz w:val="24"/>
          <w:szCs w:val="24"/>
        </w:rPr>
        <w:t>Both completed research and early work/preliminary results are invited</w:t>
      </w:r>
      <w:r w:rsidR="00BB1692" w:rsidRPr="008C3236">
        <w:rPr>
          <w:sz w:val="24"/>
          <w:szCs w:val="24"/>
        </w:rPr>
        <w:t xml:space="preserve">. </w:t>
      </w:r>
      <w:r w:rsidR="00DA06D8" w:rsidRPr="008C3236">
        <w:rPr>
          <w:sz w:val="24"/>
          <w:szCs w:val="24"/>
        </w:rPr>
        <w:t>Abstract</w:t>
      </w:r>
      <w:r w:rsidR="00935D77" w:rsidRPr="008C3236">
        <w:rPr>
          <w:sz w:val="24"/>
          <w:szCs w:val="24"/>
        </w:rPr>
        <w:t xml:space="preserve"> should contain the following elements: purpose, methodology, results, originality, practical implications and conclusion of the proposed contribution. Submission should not exceed 500 words</w:t>
      </w:r>
      <w:r w:rsidR="00935D77" w:rsidRPr="008C3236">
        <w:rPr>
          <w:color w:val="FF0000"/>
          <w:sz w:val="24"/>
          <w:szCs w:val="24"/>
        </w:rPr>
        <w:t xml:space="preserve"> </w:t>
      </w:r>
      <w:r w:rsidR="00935D77" w:rsidRPr="008C3236">
        <w:rPr>
          <w:sz w:val="24"/>
          <w:szCs w:val="24"/>
        </w:rPr>
        <w:t>(not including references). Extended Abstracts should be modified after review process, if required by reviewers. Abstract should NOT include author names or affiliations.</w:t>
      </w:r>
    </w:p>
    <w:p w14:paraId="6CEF19A3" w14:textId="77777777" w:rsidR="00935D77" w:rsidRPr="008C3236" w:rsidRDefault="00935D77" w:rsidP="00935D77">
      <w:pPr>
        <w:pStyle w:val="Paper-Title"/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706C7158" w14:textId="7101CBAA" w:rsidR="00030C0D" w:rsidRPr="008C3236" w:rsidRDefault="007E2668" w:rsidP="00935D77">
      <w:pPr>
        <w:pStyle w:val="Paper-Title"/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8C3236">
        <w:rPr>
          <w:rFonts w:ascii="Times New Roman" w:hAnsi="Times New Roman"/>
          <w:sz w:val="24"/>
          <w:szCs w:val="24"/>
        </w:rPr>
        <w:t>Keywords: 3-6</w:t>
      </w:r>
      <w:r w:rsidR="00030C0D" w:rsidRPr="008C3236">
        <w:rPr>
          <w:rFonts w:ascii="Times New Roman" w:hAnsi="Times New Roman"/>
          <w:sz w:val="24"/>
          <w:szCs w:val="24"/>
        </w:rPr>
        <w:t xml:space="preserve"> keywords</w:t>
      </w:r>
    </w:p>
    <w:p w14:paraId="0A02C47E" w14:textId="77777777" w:rsidR="00D6213B" w:rsidRPr="008C3236" w:rsidRDefault="00D6213B" w:rsidP="007E2668">
      <w:pPr>
        <w:pStyle w:val="Paper-Title"/>
        <w:spacing w:after="0"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BB2A357" w14:textId="2BB77D2C" w:rsidR="007E2668" w:rsidRPr="008C3236" w:rsidRDefault="007E2668" w:rsidP="007E2668">
      <w:pPr>
        <w:pStyle w:val="Paper-Title"/>
        <w:spacing w:after="0" w:line="360" w:lineRule="auto"/>
        <w:ind w:firstLine="0"/>
        <w:rPr>
          <w:rFonts w:ascii="Times New Roman" w:hAnsi="Times New Roman"/>
          <w:b w:val="0"/>
          <w:sz w:val="24"/>
          <w:szCs w:val="24"/>
        </w:rPr>
      </w:pPr>
      <w:r w:rsidRPr="008C3236">
        <w:rPr>
          <w:rFonts w:ascii="Times New Roman" w:hAnsi="Times New Roman"/>
          <w:sz w:val="24"/>
          <w:szCs w:val="24"/>
        </w:rPr>
        <w:t>References/Bibliography</w:t>
      </w:r>
      <w:r w:rsidRPr="008C3236">
        <w:rPr>
          <w:rFonts w:ascii="Times New Roman" w:hAnsi="Times New Roman"/>
          <w:b w:val="0"/>
          <w:sz w:val="24"/>
          <w:szCs w:val="24"/>
        </w:rPr>
        <w:t xml:space="preserve"> (not included in the word limit</w:t>
      </w:r>
      <w:r w:rsidR="00935D77" w:rsidRPr="008C3236">
        <w:rPr>
          <w:rFonts w:ascii="Times New Roman" w:hAnsi="Times New Roman"/>
          <w:b w:val="0"/>
          <w:sz w:val="24"/>
          <w:szCs w:val="24"/>
        </w:rPr>
        <w:t>)</w:t>
      </w:r>
    </w:p>
    <w:p w14:paraId="4FA33FD5" w14:textId="77777777" w:rsidR="007E2668" w:rsidRPr="008C3236" w:rsidRDefault="007E2668" w:rsidP="007E2668">
      <w:pPr>
        <w:pStyle w:val="Paper-Title"/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020CAFF7" w14:textId="2738C7AD" w:rsidR="00935D77" w:rsidRPr="008C3236" w:rsidRDefault="00935D77" w:rsidP="00935D77">
      <w:pPr>
        <w:pStyle w:val="Paper-Title"/>
        <w:spacing w:after="0" w:line="360" w:lineRule="auto"/>
        <w:ind w:firstLine="0"/>
        <w:jc w:val="both"/>
        <w:rPr>
          <w:rFonts w:ascii="Times New Roman" w:hAnsi="Times New Roman"/>
          <w:b w:val="0"/>
          <w:sz w:val="24"/>
          <w:szCs w:val="24"/>
        </w:rPr>
      </w:pPr>
      <w:r w:rsidRPr="008C3236">
        <w:rPr>
          <w:rFonts w:ascii="Times New Roman" w:hAnsi="Times New Roman"/>
          <w:sz w:val="24"/>
          <w:szCs w:val="24"/>
        </w:rPr>
        <w:t xml:space="preserve">Type of Contribution: </w:t>
      </w:r>
      <w:r w:rsidRPr="008C3236">
        <w:rPr>
          <w:rFonts w:ascii="Times New Roman" w:hAnsi="Times New Roman"/>
          <w:b w:val="0"/>
          <w:sz w:val="24"/>
          <w:szCs w:val="24"/>
        </w:rPr>
        <w:t>Paper / Poster / Workshop / Pecha Kucha / Doctoral Colloquium</w:t>
      </w:r>
    </w:p>
    <w:p w14:paraId="3BC74B68" w14:textId="77777777" w:rsidR="00935D77" w:rsidRPr="008C3236" w:rsidRDefault="00935D77" w:rsidP="00935D77">
      <w:pPr>
        <w:pStyle w:val="Paper-Title"/>
        <w:spacing w:after="0"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67A4A2DB" w14:textId="485110A3" w:rsidR="00935D77" w:rsidRPr="008C3236" w:rsidRDefault="00935D77" w:rsidP="00935D77">
      <w:pPr>
        <w:pStyle w:val="Paper-Title"/>
        <w:spacing w:after="0" w:line="360" w:lineRule="auto"/>
        <w:ind w:firstLine="0"/>
        <w:rPr>
          <w:rFonts w:ascii="Times New Roman" w:hAnsi="Times New Roman"/>
          <w:sz w:val="24"/>
          <w:szCs w:val="24"/>
        </w:rPr>
      </w:pPr>
      <w:r w:rsidRPr="008C3236">
        <w:rPr>
          <w:rFonts w:ascii="Times New Roman" w:hAnsi="Times New Roman"/>
          <w:sz w:val="24"/>
          <w:szCs w:val="24"/>
        </w:rPr>
        <w:t xml:space="preserve">Conference subtheme to which it relates most directly: </w:t>
      </w:r>
      <w:r w:rsidRPr="008C3236">
        <w:rPr>
          <w:rFonts w:ascii="Times New Roman" w:hAnsi="Times New Roman"/>
          <w:b w:val="0"/>
          <w:sz w:val="24"/>
          <w:szCs w:val="24"/>
        </w:rPr>
        <w:t>Social roles of information institutions / Information profession(als) and discipline / Innovative technologies.</w:t>
      </w:r>
    </w:p>
    <w:p w14:paraId="46F299B1" w14:textId="354F2331" w:rsidR="0026572E" w:rsidRPr="008C3236" w:rsidRDefault="0026572E">
      <w:pPr>
        <w:spacing w:after="160" w:line="259" w:lineRule="auto"/>
        <w:ind w:firstLine="0"/>
        <w:jc w:val="left"/>
        <w:rPr>
          <w:sz w:val="24"/>
          <w:szCs w:val="24"/>
        </w:rPr>
      </w:pPr>
      <w:r w:rsidRPr="008C3236">
        <w:rPr>
          <w:sz w:val="24"/>
          <w:szCs w:val="24"/>
        </w:rPr>
        <w:br w:type="page"/>
      </w:r>
    </w:p>
    <w:p w14:paraId="3805E93D" w14:textId="77777777" w:rsidR="00BD41A0" w:rsidRPr="008C3236" w:rsidRDefault="00BD41A0" w:rsidP="007E5857">
      <w:pPr>
        <w:spacing w:after="0" w:line="360" w:lineRule="auto"/>
        <w:ind w:firstLine="0"/>
        <w:rPr>
          <w:sz w:val="24"/>
          <w:szCs w:val="24"/>
        </w:rPr>
      </w:pPr>
    </w:p>
    <w:p w14:paraId="49C6D874" w14:textId="6369FDD7" w:rsidR="00BD41A0" w:rsidRPr="008C3236" w:rsidRDefault="00C52200" w:rsidP="00C52200">
      <w:pPr>
        <w:spacing w:after="0" w:line="360" w:lineRule="auto"/>
        <w:ind w:firstLine="0"/>
        <w:jc w:val="center"/>
        <w:rPr>
          <w:b/>
          <w:sz w:val="24"/>
          <w:szCs w:val="24"/>
        </w:rPr>
      </w:pPr>
      <w:r w:rsidRPr="008C3236">
        <w:rPr>
          <w:b/>
          <w:sz w:val="24"/>
          <w:szCs w:val="24"/>
        </w:rPr>
        <w:t>EXAMPLE</w:t>
      </w:r>
    </w:p>
    <w:p w14:paraId="41A49EB9" w14:textId="77777777" w:rsidR="00C52200" w:rsidRPr="008C3236" w:rsidRDefault="00C52200" w:rsidP="00C52200">
      <w:pPr>
        <w:spacing w:after="0" w:line="360" w:lineRule="auto"/>
        <w:ind w:firstLine="0"/>
        <w:jc w:val="center"/>
        <w:rPr>
          <w:b/>
          <w:sz w:val="24"/>
          <w:szCs w:val="24"/>
        </w:rPr>
      </w:pPr>
    </w:p>
    <w:p w14:paraId="3915988D" w14:textId="77777777" w:rsidR="00BD41A0" w:rsidRPr="008C3236" w:rsidRDefault="00BD41A0" w:rsidP="007E5857">
      <w:pPr>
        <w:spacing w:after="0" w:line="360" w:lineRule="auto"/>
        <w:ind w:firstLine="0"/>
        <w:rPr>
          <w:b/>
          <w:sz w:val="24"/>
          <w:szCs w:val="24"/>
        </w:rPr>
      </w:pPr>
    </w:p>
    <w:p w14:paraId="4A7AB69D" w14:textId="77777777" w:rsidR="00C6319C" w:rsidRPr="008C3236" w:rsidRDefault="00C6319C" w:rsidP="00C6319C">
      <w:pPr>
        <w:ind w:firstLine="0"/>
        <w:rPr>
          <w:b/>
          <w:sz w:val="24"/>
          <w:szCs w:val="24"/>
        </w:rPr>
      </w:pPr>
      <w:r w:rsidRPr="008C3236">
        <w:rPr>
          <w:b/>
          <w:sz w:val="24"/>
          <w:szCs w:val="24"/>
        </w:rPr>
        <w:t>PUBLIC LIBRARIES AND LINGUISTIC DIVERSITY: SMALL SCALE STUDY ON SLOVAK ETHNIC MINORITY IN EASTERN CROATIA</w:t>
      </w:r>
    </w:p>
    <w:p w14:paraId="27678506" w14:textId="77777777" w:rsidR="00C6319C" w:rsidRPr="008C3236" w:rsidRDefault="00C6319C" w:rsidP="00C6319C">
      <w:pPr>
        <w:rPr>
          <w:sz w:val="24"/>
          <w:szCs w:val="24"/>
        </w:rPr>
      </w:pPr>
    </w:p>
    <w:p w14:paraId="63BE3D6E" w14:textId="77777777" w:rsidR="004B1626" w:rsidRPr="004B1626" w:rsidRDefault="004B1626" w:rsidP="008C3236">
      <w:pPr>
        <w:spacing w:after="0" w:line="360" w:lineRule="auto"/>
        <w:ind w:firstLine="0"/>
        <w:rPr>
          <w:b/>
          <w:sz w:val="24"/>
          <w:szCs w:val="24"/>
        </w:rPr>
      </w:pPr>
      <w:r w:rsidRPr="004B1626">
        <w:rPr>
          <w:b/>
          <w:sz w:val="24"/>
          <w:szCs w:val="24"/>
        </w:rPr>
        <w:t>Abstract</w:t>
      </w:r>
    </w:p>
    <w:p w14:paraId="1A962498" w14:textId="1447A1F2" w:rsidR="00A573AB" w:rsidRDefault="00C6319C" w:rsidP="008C3236">
      <w:pPr>
        <w:spacing w:after="0" w:line="360" w:lineRule="auto"/>
        <w:ind w:firstLine="0"/>
        <w:rPr>
          <w:sz w:val="24"/>
          <w:szCs w:val="24"/>
        </w:rPr>
      </w:pPr>
      <w:r w:rsidRPr="008C3236">
        <w:rPr>
          <w:sz w:val="24"/>
          <w:szCs w:val="24"/>
        </w:rPr>
        <w:t>One of the key missions of the 21</w:t>
      </w:r>
      <w:r w:rsidRPr="008C3236">
        <w:rPr>
          <w:sz w:val="24"/>
          <w:szCs w:val="24"/>
          <w:vertAlign w:val="superscript"/>
        </w:rPr>
        <w:t>st</w:t>
      </w:r>
      <w:r w:rsidRPr="008C3236">
        <w:rPr>
          <w:sz w:val="24"/>
          <w:szCs w:val="24"/>
        </w:rPr>
        <w:t xml:space="preserve"> century public library is to foster inter-cultural dialogue and favor cultural diversity by reaching out to all members of the local community, especially multicultural populations</w:t>
      </w:r>
      <w:r w:rsidR="008C3236" w:rsidRPr="008C3236">
        <w:rPr>
          <w:sz w:val="24"/>
          <w:szCs w:val="24"/>
        </w:rPr>
        <w:t xml:space="preserve"> (</w:t>
      </w:r>
      <w:r w:rsidR="00A573AB">
        <w:rPr>
          <w:sz w:val="24"/>
          <w:szCs w:val="24"/>
        </w:rPr>
        <w:t>IFLA, 2008; Croatian Parliament, 2002; Thorhauge, 2003; Train, Dalton and Elkin, 2000</w:t>
      </w:r>
      <w:r w:rsidR="008C3236" w:rsidRPr="008C3236">
        <w:rPr>
          <w:sz w:val="24"/>
          <w:szCs w:val="24"/>
        </w:rPr>
        <w:t>)</w:t>
      </w:r>
      <w:r w:rsidRPr="008C3236">
        <w:rPr>
          <w:sz w:val="24"/>
          <w:szCs w:val="24"/>
        </w:rPr>
        <w:t xml:space="preserve">. </w:t>
      </w:r>
    </w:p>
    <w:p w14:paraId="7D766B5D" w14:textId="77777777" w:rsidR="00A573AB" w:rsidRDefault="00C6319C" w:rsidP="008C3236">
      <w:pPr>
        <w:spacing w:after="0" w:line="360" w:lineRule="auto"/>
        <w:ind w:firstLine="0"/>
        <w:rPr>
          <w:sz w:val="24"/>
          <w:szCs w:val="24"/>
        </w:rPr>
      </w:pPr>
      <w:r w:rsidRPr="008C3236">
        <w:rPr>
          <w:sz w:val="24"/>
          <w:szCs w:val="24"/>
        </w:rPr>
        <w:t xml:space="preserve">This paper will present a fragment of data gathered in a multi-phase exploratory study whose aim was to survey multicultural services of Croatian public libraries and collect and analyze data about information needs and behavior of long-established national minorities in this country, and </w:t>
      </w:r>
      <w:r w:rsidR="00A573AB">
        <w:rPr>
          <w:sz w:val="24"/>
          <w:szCs w:val="24"/>
        </w:rPr>
        <w:t>understand</w:t>
      </w:r>
      <w:r w:rsidRPr="008C3236">
        <w:rPr>
          <w:sz w:val="24"/>
          <w:szCs w:val="24"/>
        </w:rPr>
        <w:t xml:space="preserve"> the </w:t>
      </w:r>
      <w:r w:rsidR="00A573AB">
        <w:rPr>
          <w:sz w:val="24"/>
          <w:szCs w:val="24"/>
        </w:rPr>
        <w:t xml:space="preserve">use and </w:t>
      </w:r>
      <w:r w:rsidRPr="008C3236">
        <w:rPr>
          <w:sz w:val="24"/>
          <w:szCs w:val="24"/>
        </w:rPr>
        <w:t>level of their satisfaction with the library services. Due to spatial limitations this paper will focus on Slovak national minority in Osijek-Baranya County, their information needs and perceptions of libraries as a source of everyday information and reading material in their mother tongue.</w:t>
      </w:r>
      <w:r w:rsidR="008C3236" w:rsidRPr="008C3236">
        <w:rPr>
          <w:sz w:val="24"/>
          <w:szCs w:val="24"/>
        </w:rPr>
        <w:t xml:space="preserve"> </w:t>
      </w:r>
    </w:p>
    <w:p w14:paraId="04E0029A" w14:textId="77777777" w:rsidR="00A573AB" w:rsidRDefault="00C6319C" w:rsidP="008C3236">
      <w:pPr>
        <w:spacing w:after="0" w:line="360" w:lineRule="auto"/>
        <w:ind w:firstLine="0"/>
        <w:rPr>
          <w:rStyle w:val="hps"/>
          <w:sz w:val="24"/>
          <w:szCs w:val="24"/>
          <w:lang w:val="en"/>
        </w:rPr>
      </w:pPr>
      <w:r w:rsidRPr="008C3236">
        <w:rPr>
          <w:rStyle w:val="hps"/>
          <w:sz w:val="24"/>
          <w:szCs w:val="24"/>
        </w:rPr>
        <w:t xml:space="preserve">Data was gathered with the help of </w:t>
      </w:r>
      <w:r w:rsidRPr="008C3236">
        <w:rPr>
          <w:rStyle w:val="hps"/>
          <w:sz w:val="24"/>
          <w:szCs w:val="24"/>
          <w:lang w:val="en"/>
        </w:rPr>
        <w:t xml:space="preserve">quantitative methodology. Self-administered </w:t>
      </w:r>
      <w:r w:rsidR="00A573AB">
        <w:rPr>
          <w:rStyle w:val="hps"/>
          <w:sz w:val="24"/>
          <w:szCs w:val="24"/>
          <w:lang w:val="en"/>
        </w:rPr>
        <w:t xml:space="preserve">print </w:t>
      </w:r>
      <w:r w:rsidRPr="008C3236">
        <w:rPr>
          <w:rStyle w:val="hps"/>
          <w:sz w:val="24"/>
          <w:szCs w:val="24"/>
          <w:lang w:val="en"/>
        </w:rPr>
        <w:t xml:space="preserve">questionnaires were distributed through Slovak cultural associations and the Central library for Slovak minority. A total of </w:t>
      </w:r>
      <w:r w:rsidRPr="008C3236">
        <w:rPr>
          <w:sz w:val="24"/>
          <w:szCs w:val="24"/>
        </w:rPr>
        <w:t xml:space="preserve">112 questionnaires were returned, making </w:t>
      </w:r>
      <w:r w:rsidRPr="008C3236">
        <w:rPr>
          <w:rStyle w:val="hps"/>
          <w:sz w:val="24"/>
          <w:szCs w:val="24"/>
          <w:lang w:val="en"/>
        </w:rPr>
        <w:t xml:space="preserve">a turnout of 55.5%. Since 2155 members of this national minority are registered in this region the study covered ca 5% of the whole population. Descriptive statistics and variant analysis were used to analyze data. </w:t>
      </w:r>
    </w:p>
    <w:p w14:paraId="7A69593F" w14:textId="77777777" w:rsidR="00A573AB" w:rsidRDefault="00C6319C" w:rsidP="008C3236">
      <w:pPr>
        <w:spacing w:after="0" w:line="360" w:lineRule="auto"/>
        <w:ind w:firstLine="0"/>
        <w:rPr>
          <w:sz w:val="24"/>
          <w:szCs w:val="24"/>
          <w:lang w:val="en-GB"/>
        </w:rPr>
      </w:pPr>
      <w:r w:rsidRPr="008C3236">
        <w:rPr>
          <w:rStyle w:val="hps"/>
          <w:sz w:val="24"/>
          <w:szCs w:val="24"/>
          <w:lang w:val="en"/>
        </w:rPr>
        <w:t xml:space="preserve">The study has confirmed that respondents, members of the long-established Slovak national minority in Osijek-Baranya County, have the need for diverse information and reading material in their mother tongue: only </w:t>
      </w:r>
      <w:bookmarkStart w:id="0" w:name="OLE_LINK1"/>
      <w:bookmarkStart w:id="1" w:name="OLE_LINK2"/>
      <w:r w:rsidRPr="008C3236">
        <w:rPr>
          <w:rStyle w:val="hps"/>
          <w:sz w:val="24"/>
          <w:szCs w:val="24"/>
          <w:lang w:val="en"/>
        </w:rPr>
        <w:t xml:space="preserve">8.9% said that they do not need information resources </w:t>
      </w:r>
      <w:bookmarkEnd w:id="0"/>
      <w:bookmarkEnd w:id="1"/>
      <w:r w:rsidRPr="008C3236">
        <w:rPr>
          <w:rStyle w:val="hps"/>
          <w:sz w:val="24"/>
          <w:szCs w:val="24"/>
          <w:lang w:val="en"/>
        </w:rPr>
        <w:t xml:space="preserve">in Slovak. As expected, the large majority indicated that they needed these materials to stay in touch with their cultural and linguistic heritage (79.5%). Also, results showed that only 24.1% respondents use public library as a source of information and reading material in Slovak,  following </w:t>
      </w:r>
      <w:r w:rsidRPr="008C3236">
        <w:rPr>
          <w:sz w:val="24"/>
          <w:szCs w:val="24"/>
          <w:lang w:val="en-GB"/>
        </w:rPr>
        <w:t>newspapers and magazines (67.9%), Slovak cultural associations (63.4%), personal contact (54.5%) and the internet (42%).</w:t>
      </w:r>
    </w:p>
    <w:p w14:paraId="2024EA1A" w14:textId="3691CABC" w:rsidR="00C6319C" w:rsidRPr="008C3236" w:rsidRDefault="00C6319C" w:rsidP="008C3236">
      <w:pPr>
        <w:spacing w:after="0" w:line="360" w:lineRule="auto"/>
        <w:ind w:firstLine="0"/>
        <w:rPr>
          <w:sz w:val="24"/>
          <w:szCs w:val="24"/>
        </w:rPr>
      </w:pPr>
      <w:r w:rsidRPr="008C3236">
        <w:rPr>
          <w:sz w:val="24"/>
          <w:szCs w:val="24"/>
        </w:rPr>
        <w:t xml:space="preserve">The importance of this research lies in its implications for development of library services to multicultural communities in Croatia as well as offering suggestions for improving the collection </w:t>
      </w:r>
      <w:r w:rsidRPr="008C3236">
        <w:rPr>
          <w:sz w:val="24"/>
          <w:szCs w:val="24"/>
        </w:rPr>
        <w:lastRenderedPageBreak/>
        <w:t>building in Croatian public libraries, in particular regarding material in languages and scripts of long-established minorities. Authors also hope that this study will encourage librarians in Croatia to systematically collect and analyse information about their local community minorities, especially their library and information needs.</w:t>
      </w:r>
    </w:p>
    <w:p w14:paraId="4335A436" w14:textId="77777777" w:rsidR="00C6319C" w:rsidRPr="008C3236" w:rsidRDefault="00C6319C" w:rsidP="00C6319C">
      <w:pPr>
        <w:ind w:firstLine="708"/>
        <w:rPr>
          <w:rStyle w:val="hps"/>
          <w:sz w:val="24"/>
          <w:szCs w:val="24"/>
          <w:lang w:val="hr-HR"/>
        </w:rPr>
      </w:pPr>
    </w:p>
    <w:p w14:paraId="75FAA1FB" w14:textId="77777777" w:rsidR="00BD41A0" w:rsidRPr="008C3236" w:rsidRDefault="00BD41A0" w:rsidP="00BD41A0">
      <w:pPr>
        <w:spacing w:after="0" w:line="360" w:lineRule="auto"/>
        <w:ind w:firstLine="0"/>
        <w:rPr>
          <w:sz w:val="24"/>
          <w:szCs w:val="24"/>
        </w:rPr>
      </w:pPr>
    </w:p>
    <w:p w14:paraId="52332A85" w14:textId="11DB29B3" w:rsidR="008C3236" w:rsidRDefault="00BD41A0" w:rsidP="008C3236">
      <w:pPr>
        <w:spacing w:after="0" w:line="360" w:lineRule="auto"/>
        <w:ind w:firstLine="0"/>
        <w:rPr>
          <w:color w:val="000000"/>
          <w:sz w:val="24"/>
          <w:szCs w:val="24"/>
        </w:rPr>
      </w:pPr>
      <w:r w:rsidRPr="008C3236">
        <w:rPr>
          <w:b/>
          <w:sz w:val="24"/>
          <w:szCs w:val="24"/>
        </w:rPr>
        <w:t xml:space="preserve">Keywords: </w:t>
      </w:r>
      <w:r w:rsidR="008C3236" w:rsidRPr="008C3236">
        <w:rPr>
          <w:color w:val="000000"/>
          <w:sz w:val="24"/>
          <w:szCs w:val="24"/>
        </w:rPr>
        <w:t>multiculturalism, public libraries, Slovak national minority, information needs, information behavior, Croatia</w:t>
      </w:r>
    </w:p>
    <w:p w14:paraId="31608BD4" w14:textId="77777777" w:rsidR="008C3236" w:rsidRPr="008C3236" w:rsidRDefault="008C3236" w:rsidP="008C3236">
      <w:pPr>
        <w:spacing w:after="0" w:line="360" w:lineRule="auto"/>
        <w:ind w:firstLine="0"/>
        <w:rPr>
          <w:b/>
          <w:sz w:val="24"/>
          <w:szCs w:val="24"/>
        </w:rPr>
      </w:pPr>
    </w:p>
    <w:p w14:paraId="0FF308A9" w14:textId="087EC878" w:rsidR="008C3236" w:rsidRPr="008C3236" w:rsidRDefault="008C3236" w:rsidP="00BD41A0">
      <w:pPr>
        <w:spacing w:after="0" w:line="360" w:lineRule="auto"/>
        <w:ind w:firstLine="0"/>
        <w:rPr>
          <w:b/>
          <w:sz w:val="24"/>
          <w:szCs w:val="24"/>
        </w:rPr>
      </w:pPr>
      <w:r w:rsidRPr="008C3236">
        <w:rPr>
          <w:b/>
          <w:sz w:val="24"/>
          <w:szCs w:val="24"/>
        </w:rPr>
        <w:t>Bibliography</w:t>
      </w:r>
    </w:p>
    <w:p w14:paraId="02DD6A68" w14:textId="3093CF38" w:rsidR="008C3236" w:rsidRPr="00A53E81" w:rsidRDefault="008C3236" w:rsidP="008C3236">
      <w:pPr>
        <w:pStyle w:val="FootnoteText"/>
        <w:ind w:left="540" w:hanging="540"/>
        <w:rPr>
          <w:sz w:val="24"/>
          <w:szCs w:val="24"/>
        </w:rPr>
      </w:pPr>
      <w:r w:rsidRPr="00A53E81">
        <w:rPr>
          <w:sz w:val="24"/>
          <w:szCs w:val="24"/>
        </w:rPr>
        <w:t xml:space="preserve">IFLA. </w:t>
      </w:r>
      <w:r w:rsidR="00A53E81">
        <w:rPr>
          <w:sz w:val="24"/>
          <w:szCs w:val="24"/>
        </w:rPr>
        <w:t>(</w:t>
      </w:r>
      <w:r w:rsidRPr="00A53E81">
        <w:rPr>
          <w:sz w:val="24"/>
          <w:szCs w:val="24"/>
        </w:rPr>
        <w:t>2008</w:t>
      </w:r>
      <w:r w:rsidR="00A53E81">
        <w:rPr>
          <w:sz w:val="24"/>
          <w:szCs w:val="24"/>
        </w:rPr>
        <w:t>)</w:t>
      </w:r>
      <w:r w:rsidRPr="00A53E81">
        <w:rPr>
          <w:sz w:val="24"/>
          <w:szCs w:val="24"/>
        </w:rPr>
        <w:t>.</w:t>
      </w:r>
      <w:r w:rsidRPr="00A53E81">
        <w:rPr>
          <w:i/>
          <w:sz w:val="24"/>
          <w:szCs w:val="24"/>
        </w:rPr>
        <w:t xml:space="preserve"> </w:t>
      </w:r>
      <w:r w:rsidRPr="00A53E81">
        <w:rPr>
          <w:sz w:val="24"/>
          <w:szCs w:val="24"/>
        </w:rPr>
        <w:t>The IFLA multicultural library manifesto</w:t>
      </w:r>
      <w:r w:rsidRPr="00A53E81">
        <w:rPr>
          <w:i/>
          <w:sz w:val="24"/>
          <w:szCs w:val="24"/>
        </w:rPr>
        <w:t xml:space="preserve">. </w:t>
      </w:r>
      <w:r w:rsidR="00A53E81" w:rsidRPr="00A53E81">
        <w:rPr>
          <w:sz w:val="24"/>
          <w:szCs w:val="24"/>
        </w:rPr>
        <w:t>Retrieved from</w:t>
      </w:r>
      <w:r w:rsidR="00A53E81">
        <w:rPr>
          <w:sz w:val="24"/>
          <w:szCs w:val="24"/>
        </w:rPr>
        <w:t xml:space="preserve"> </w:t>
      </w:r>
      <w:hyperlink r:id="rId7" w:history="1">
        <w:r w:rsidRPr="00A53E81">
          <w:rPr>
            <w:rStyle w:val="Hyperlink"/>
            <w:sz w:val="24"/>
            <w:szCs w:val="24"/>
          </w:rPr>
          <w:t>http://archive.ifla.org/VII/s32/pub/MulticulturalLibraryManifesto.pdf</w:t>
        </w:r>
      </w:hyperlink>
      <w:r w:rsidRPr="00A53E81">
        <w:rPr>
          <w:sz w:val="24"/>
          <w:szCs w:val="24"/>
        </w:rPr>
        <w:t xml:space="preserve"> </w:t>
      </w:r>
    </w:p>
    <w:p w14:paraId="776E9FD4" w14:textId="3CE72B45" w:rsidR="008C3236" w:rsidRPr="00A53E81" w:rsidRDefault="008C3236" w:rsidP="008C3236">
      <w:pPr>
        <w:ind w:left="540" w:hanging="540"/>
        <w:rPr>
          <w:sz w:val="24"/>
          <w:szCs w:val="24"/>
        </w:rPr>
      </w:pPr>
      <w:r w:rsidRPr="00A53E81">
        <w:rPr>
          <w:sz w:val="24"/>
          <w:szCs w:val="24"/>
        </w:rPr>
        <w:t xml:space="preserve">Croatian Parliament. </w:t>
      </w:r>
      <w:r w:rsidR="00A53E81">
        <w:rPr>
          <w:sz w:val="24"/>
          <w:szCs w:val="24"/>
        </w:rPr>
        <w:t>(</w:t>
      </w:r>
      <w:r w:rsidRPr="00A53E81">
        <w:rPr>
          <w:sz w:val="24"/>
          <w:szCs w:val="24"/>
        </w:rPr>
        <w:t>2002</w:t>
      </w:r>
      <w:r w:rsidR="00A53E81">
        <w:rPr>
          <w:sz w:val="24"/>
          <w:szCs w:val="24"/>
        </w:rPr>
        <w:t>)</w:t>
      </w:r>
      <w:r w:rsidRPr="00A53E81">
        <w:rPr>
          <w:sz w:val="24"/>
          <w:szCs w:val="24"/>
        </w:rPr>
        <w:t xml:space="preserve">. Constitutional act on the rights of national minorities. </w:t>
      </w:r>
      <w:r w:rsidR="00A53E81" w:rsidRPr="00A53E81">
        <w:rPr>
          <w:sz w:val="24"/>
          <w:szCs w:val="24"/>
        </w:rPr>
        <w:t>Retrieved from</w:t>
      </w:r>
      <w:r w:rsidR="00A53E81">
        <w:rPr>
          <w:sz w:val="24"/>
          <w:szCs w:val="24"/>
        </w:rPr>
        <w:t xml:space="preserve"> </w:t>
      </w:r>
      <w:hyperlink r:id="rId8" w:history="1">
        <w:r w:rsidRPr="00A53E81">
          <w:rPr>
            <w:rStyle w:val="Hyperlink"/>
            <w:sz w:val="24"/>
            <w:szCs w:val="24"/>
          </w:rPr>
          <w:t>http://unpan1.un.org/intradoc/groups/public/documents/untc/unpan017847.pdf</w:t>
        </w:r>
      </w:hyperlink>
      <w:r w:rsidRPr="00A53E81">
        <w:rPr>
          <w:sz w:val="24"/>
          <w:szCs w:val="24"/>
        </w:rPr>
        <w:t xml:space="preserve"> </w:t>
      </w:r>
    </w:p>
    <w:p w14:paraId="69F692B5" w14:textId="73E215A0" w:rsidR="008C3236" w:rsidRPr="00A53E81" w:rsidRDefault="008C3236" w:rsidP="008C3236">
      <w:pPr>
        <w:ind w:left="540" w:hanging="540"/>
        <w:rPr>
          <w:sz w:val="24"/>
          <w:szCs w:val="24"/>
        </w:rPr>
      </w:pPr>
      <w:r w:rsidRPr="00A53E81">
        <w:rPr>
          <w:sz w:val="24"/>
          <w:szCs w:val="24"/>
        </w:rPr>
        <w:t xml:space="preserve">Thorhauge, J.  </w:t>
      </w:r>
      <w:r w:rsidR="00A53E81">
        <w:rPr>
          <w:sz w:val="24"/>
          <w:szCs w:val="24"/>
        </w:rPr>
        <w:t>(</w:t>
      </w:r>
      <w:r w:rsidRPr="00A53E81">
        <w:rPr>
          <w:sz w:val="24"/>
          <w:szCs w:val="24"/>
        </w:rPr>
        <w:t>2003</w:t>
      </w:r>
      <w:r w:rsidR="00A53E81">
        <w:rPr>
          <w:sz w:val="24"/>
          <w:szCs w:val="24"/>
        </w:rPr>
        <w:t>)</w:t>
      </w:r>
      <w:r w:rsidRPr="00A53E81">
        <w:rPr>
          <w:sz w:val="24"/>
          <w:szCs w:val="24"/>
        </w:rPr>
        <w:t xml:space="preserve">. Danish strategies in public library services to ethnic minorities. </w:t>
      </w:r>
      <w:r w:rsidRPr="00A53E81">
        <w:rPr>
          <w:i/>
          <w:iCs/>
          <w:sz w:val="24"/>
          <w:szCs w:val="24"/>
        </w:rPr>
        <w:t>IFLA Journal</w:t>
      </w:r>
      <w:r w:rsidRPr="00A53E81">
        <w:rPr>
          <w:sz w:val="24"/>
          <w:szCs w:val="24"/>
        </w:rPr>
        <w:t xml:space="preserve"> 29(4): 308-312.</w:t>
      </w:r>
    </w:p>
    <w:p w14:paraId="51DBF9F6" w14:textId="02DED757" w:rsidR="008C3236" w:rsidRPr="008C3236" w:rsidRDefault="008C3236" w:rsidP="008C3236">
      <w:pPr>
        <w:pStyle w:val="NormalWeb"/>
        <w:spacing w:before="0" w:beforeAutospacing="0" w:after="0" w:afterAutospacing="0"/>
        <w:ind w:left="539" w:hanging="539"/>
        <w:jc w:val="both"/>
      </w:pPr>
      <w:r w:rsidRPr="00A53E81">
        <w:t xml:space="preserve">Train, B., P. Dalton and J. Elkin. </w:t>
      </w:r>
      <w:r w:rsidR="00A53E81">
        <w:t>(</w:t>
      </w:r>
      <w:r w:rsidRPr="00A53E81">
        <w:t>2000</w:t>
      </w:r>
      <w:r w:rsidR="00A53E81">
        <w:t>)</w:t>
      </w:r>
      <w:bookmarkStart w:id="2" w:name="_GoBack"/>
      <w:bookmarkEnd w:id="2"/>
      <w:r w:rsidRPr="00A53E81">
        <w:t xml:space="preserve">. Embracing inclusion: The critical role of the library. </w:t>
      </w:r>
      <w:r w:rsidRPr="00A53E81">
        <w:rPr>
          <w:i/>
        </w:rPr>
        <w:t>Library management</w:t>
      </w:r>
      <w:r w:rsidRPr="00A53E81">
        <w:t xml:space="preserve"> 21(9): 483-490.</w:t>
      </w:r>
    </w:p>
    <w:p w14:paraId="799FF4C9" w14:textId="77777777" w:rsidR="008C3236" w:rsidRDefault="008C3236" w:rsidP="00BD41A0">
      <w:pPr>
        <w:spacing w:after="0" w:line="360" w:lineRule="auto"/>
        <w:ind w:firstLine="0"/>
        <w:rPr>
          <w:b/>
          <w:sz w:val="24"/>
          <w:szCs w:val="24"/>
        </w:rPr>
      </w:pPr>
    </w:p>
    <w:p w14:paraId="23CFCAC4" w14:textId="77777777" w:rsidR="00D4496B" w:rsidRDefault="00D4496B" w:rsidP="00BD41A0">
      <w:pPr>
        <w:spacing w:after="0" w:line="360" w:lineRule="auto"/>
        <w:ind w:firstLine="0"/>
        <w:rPr>
          <w:b/>
          <w:sz w:val="24"/>
          <w:szCs w:val="24"/>
        </w:rPr>
      </w:pPr>
    </w:p>
    <w:p w14:paraId="75A27D84" w14:textId="27FFFC46" w:rsidR="00D4496B" w:rsidRDefault="00D4496B" w:rsidP="00BD41A0">
      <w:pPr>
        <w:spacing w:after="0" w:line="360" w:lineRule="auto"/>
        <w:ind w:firstLine="0"/>
        <w:rPr>
          <w:sz w:val="24"/>
          <w:szCs w:val="24"/>
        </w:rPr>
      </w:pPr>
      <w:r w:rsidRPr="00D4496B">
        <w:rPr>
          <w:b/>
          <w:sz w:val="24"/>
          <w:szCs w:val="24"/>
        </w:rPr>
        <w:t>Type of Contribution</w:t>
      </w:r>
      <w:r w:rsidRPr="008C3236">
        <w:rPr>
          <w:sz w:val="24"/>
          <w:szCs w:val="24"/>
        </w:rPr>
        <w:t xml:space="preserve">: </w:t>
      </w:r>
      <w:r>
        <w:rPr>
          <w:sz w:val="24"/>
          <w:szCs w:val="24"/>
        </w:rPr>
        <w:t>PAPER</w:t>
      </w:r>
    </w:p>
    <w:p w14:paraId="51CDB83D" w14:textId="5228A3E0" w:rsidR="00D4496B" w:rsidRPr="008C3236" w:rsidRDefault="00D4496B" w:rsidP="00BD41A0">
      <w:pPr>
        <w:spacing w:after="0" w:line="360" w:lineRule="auto"/>
        <w:ind w:firstLine="0"/>
        <w:rPr>
          <w:b/>
          <w:sz w:val="24"/>
          <w:szCs w:val="24"/>
        </w:rPr>
      </w:pPr>
      <w:r w:rsidRPr="00D4496B">
        <w:rPr>
          <w:b/>
          <w:sz w:val="24"/>
          <w:szCs w:val="24"/>
        </w:rPr>
        <w:t>Conference subtheme</w:t>
      </w:r>
      <w:r w:rsidRPr="00D4496B">
        <w:rPr>
          <w:sz w:val="24"/>
          <w:szCs w:val="24"/>
        </w:rPr>
        <w:t xml:space="preserve">: </w:t>
      </w:r>
      <w:r>
        <w:rPr>
          <w:sz w:val="24"/>
          <w:szCs w:val="24"/>
        </w:rPr>
        <w:t>SOCIAL ROLES OF INFORMATION INSTITUTIONS</w:t>
      </w:r>
    </w:p>
    <w:sectPr w:rsidR="00D4496B" w:rsidRPr="008C3236" w:rsidSect="000D7DF1">
      <w:footerReference w:type="even" r:id="rId9"/>
      <w:pgSz w:w="11907" w:h="16839" w:code="9"/>
      <w:pgMar w:top="1440" w:right="1240" w:bottom="1440" w:left="1240" w:header="720" w:footer="720" w:gutter="0"/>
      <w:cols w:space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EBEE4" w14:textId="77777777" w:rsidR="003D31CF" w:rsidRDefault="003D31CF" w:rsidP="000D7DF1">
      <w:pPr>
        <w:spacing w:after="0"/>
      </w:pPr>
      <w:r>
        <w:separator/>
      </w:r>
    </w:p>
  </w:endnote>
  <w:endnote w:type="continuationSeparator" w:id="0">
    <w:p w14:paraId="2E9B1509" w14:textId="77777777" w:rsidR="003D31CF" w:rsidRDefault="003D31CF" w:rsidP="000D7D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EE0BD" w14:textId="77777777" w:rsidR="00F63EEC" w:rsidRDefault="00D15F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06743" w14:textId="77777777" w:rsidR="00F63EEC" w:rsidRDefault="003D3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8B99E" w14:textId="77777777" w:rsidR="003D31CF" w:rsidRDefault="003D31CF" w:rsidP="000D7DF1">
      <w:pPr>
        <w:spacing w:after="0"/>
      </w:pPr>
      <w:r>
        <w:separator/>
      </w:r>
    </w:p>
  </w:footnote>
  <w:footnote w:type="continuationSeparator" w:id="0">
    <w:p w14:paraId="477D0BDD" w14:textId="77777777" w:rsidR="003D31CF" w:rsidRDefault="003D31CF" w:rsidP="000D7D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F1"/>
    <w:rsid w:val="00030C0D"/>
    <w:rsid w:val="000510EA"/>
    <w:rsid w:val="000610BD"/>
    <w:rsid w:val="00067888"/>
    <w:rsid w:val="000715E5"/>
    <w:rsid w:val="000A109C"/>
    <w:rsid w:val="000A323E"/>
    <w:rsid w:val="000B1E3C"/>
    <w:rsid w:val="000B4BE3"/>
    <w:rsid w:val="000B69AE"/>
    <w:rsid w:val="000D46DA"/>
    <w:rsid w:val="000D5669"/>
    <w:rsid w:val="000D7DF1"/>
    <w:rsid w:val="000F67A6"/>
    <w:rsid w:val="00137A9B"/>
    <w:rsid w:val="0016692E"/>
    <w:rsid w:val="001D5829"/>
    <w:rsid w:val="001E2B18"/>
    <w:rsid w:val="001E5837"/>
    <w:rsid w:val="00252B83"/>
    <w:rsid w:val="002564EC"/>
    <w:rsid w:val="0026572E"/>
    <w:rsid w:val="002C13A3"/>
    <w:rsid w:val="002C684D"/>
    <w:rsid w:val="002E00C2"/>
    <w:rsid w:val="00314159"/>
    <w:rsid w:val="0032310C"/>
    <w:rsid w:val="00335E97"/>
    <w:rsid w:val="00344B12"/>
    <w:rsid w:val="00345EB5"/>
    <w:rsid w:val="00350751"/>
    <w:rsid w:val="00354B86"/>
    <w:rsid w:val="00371540"/>
    <w:rsid w:val="003D31CF"/>
    <w:rsid w:val="0040120A"/>
    <w:rsid w:val="00414583"/>
    <w:rsid w:val="00420AF9"/>
    <w:rsid w:val="00423E03"/>
    <w:rsid w:val="00461827"/>
    <w:rsid w:val="0048153D"/>
    <w:rsid w:val="00484333"/>
    <w:rsid w:val="004A5194"/>
    <w:rsid w:val="004A750C"/>
    <w:rsid w:val="004B1626"/>
    <w:rsid w:val="005177D2"/>
    <w:rsid w:val="0055260A"/>
    <w:rsid w:val="00571B2B"/>
    <w:rsid w:val="005938B1"/>
    <w:rsid w:val="005A46E0"/>
    <w:rsid w:val="005F7124"/>
    <w:rsid w:val="006108E9"/>
    <w:rsid w:val="0061349C"/>
    <w:rsid w:val="00622E70"/>
    <w:rsid w:val="00640237"/>
    <w:rsid w:val="0065115E"/>
    <w:rsid w:val="00664FCA"/>
    <w:rsid w:val="0066595F"/>
    <w:rsid w:val="00672480"/>
    <w:rsid w:val="00695E89"/>
    <w:rsid w:val="006D45FF"/>
    <w:rsid w:val="006D666C"/>
    <w:rsid w:val="006E1470"/>
    <w:rsid w:val="006E7482"/>
    <w:rsid w:val="00707FC0"/>
    <w:rsid w:val="007119A1"/>
    <w:rsid w:val="00713ADE"/>
    <w:rsid w:val="007C441E"/>
    <w:rsid w:val="007D1E1A"/>
    <w:rsid w:val="007D3F0A"/>
    <w:rsid w:val="007E09F1"/>
    <w:rsid w:val="007E2668"/>
    <w:rsid w:val="007E5857"/>
    <w:rsid w:val="00810B5C"/>
    <w:rsid w:val="00826D2B"/>
    <w:rsid w:val="008349B3"/>
    <w:rsid w:val="00866FCA"/>
    <w:rsid w:val="00876728"/>
    <w:rsid w:val="0089497E"/>
    <w:rsid w:val="00894B15"/>
    <w:rsid w:val="008B5332"/>
    <w:rsid w:val="008B7E21"/>
    <w:rsid w:val="008C2BA6"/>
    <w:rsid w:val="008C3236"/>
    <w:rsid w:val="00935D77"/>
    <w:rsid w:val="00967687"/>
    <w:rsid w:val="00967D5E"/>
    <w:rsid w:val="00971421"/>
    <w:rsid w:val="0097700C"/>
    <w:rsid w:val="009772AD"/>
    <w:rsid w:val="009A1FBA"/>
    <w:rsid w:val="009D4ECA"/>
    <w:rsid w:val="009F37DC"/>
    <w:rsid w:val="00A0202C"/>
    <w:rsid w:val="00A172EF"/>
    <w:rsid w:val="00A53E81"/>
    <w:rsid w:val="00A573AB"/>
    <w:rsid w:val="00A62DED"/>
    <w:rsid w:val="00A95123"/>
    <w:rsid w:val="00AE31D9"/>
    <w:rsid w:val="00B00A12"/>
    <w:rsid w:val="00B363F9"/>
    <w:rsid w:val="00B56B1D"/>
    <w:rsid w:val="00B61C4B"/>
    <w:rsid w:val="00B634D9"/>
    <w:rsid w:val="00B93E27"/>
    <w:rsid w:val="00BB1692"/>
    <w:rsid w:val="00BC5FD1"/>
    <w:rsid w:val="00BD0F7E"/>
    <w:rsid w:val="00BD41A0"/>
    <w:rsid w:val="00BE311D"/>
    <w:rsid w:val="00BF3710"/>
    <w:rsid w:val="00C035AA"/>
    <w:rsid w:val="00C134D8"/>
    <w:rsid w:val="00C501B8"/>
    <w:rsid w:val="00C52200"/>
    <w:rsid w:val="00C6319C"/>
    <w:rsid w:val="00C816EA"/>
    <w:rsid w:val="00C91FA8"/>
    <w:rsid w:val="00C94AE2"/>
    <w:rsid w:val="00C96EB5"/>
    <w:rsid w:val="00CA77BB"/>
    <w:rsid w:val="00CB75E5"/>
    <w:rsid w:val="00CF1861"/>
    <w:rsid w:val="00D028B2"/>
    <w:rsid w:val="00D15F42"/>
    <w:rsid w:val="00D4496B"/>
    <w:rsid w:val="00D6213B"/>
    <w:rsid w:val="00D92FE8"/>
    <w:rsid w:val="00D96A02"/>
    <w:rsid w:val="00DA06D8"/>
    <w:rsid w:val="00DC088A"/>
    <w:rsid w:val="00DD34F9"/>
    <w:rsid w:val="00DE336F"/>
    <w:rsid w:val="00DE68FA"/>
    <w:rsid w:val="00E00099"/>
    <w:rsid w:val="00E14D93"/>
    <w:rsid w:val="00E33D8D"/>
    <w:rsid w:val="00E72772"/>
    <w:rsid w:val="00E9550C"/>
    <w:rsid w:val="00EA3700"/>
    <w:rsid w:val="00EA3A13"/>
    <w:rsid w:val="00EB4765"/>
    <w:rsid w:val="00EF2F68"/>
    <w:rsid w:val="00EF509E"/>
    <w:rsid w:val="00F113A3"/>
    <w:rsid w:val="00F5153F"/>
    <w:rsid w:val="00F7243A"/>
    <w:rsid w:val="00F72442"/>
    <w:rsid w:val="00F855BF"/>
    <w:rsid w:val="00F91E81"/>
    <w:rsid w:val="00FA7470"/>
    <w:rsid w:val="00FB1B88"/>
    <w:rsid w:val="00FB697C"/>
    <w:rsid w:val="00FD4E82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3B9"/>
  <w15:docId w15:val="{2A69AA4E-456F-41F2-8361-48E5C254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DF1"/>
    <w:pPr>
      <w:spacing w:after="80" w:line="240" w:lineRule="auto"/>
      <w:ind w:firstLine="144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D7DF1"/>
    <w:pPr>
      <w:keepNext/>
      <w:spacing w:before="40" w:after="0"/>
      <w:ind w:firstLine="0"/>
      <w:jc w:val="left"/>
      <w:outlineLvl w:val="0"/>
    </w:pPr>
    <w:rPr>
      <w:rFonts w:ascii="Helvetica" w:hAnsi="Helvetica"/>
      <w:b/>
      <w:kern w:val="28"/>
      <w:sz w:val="22"/>
    </w:rPr>
  </w:style>
  <w:style w:type="paragraph" w:styleId="Heading2">
    <w:name w:val="heading 2"/>
    <w:basedOn w:val="Heading1"/>
    <w:next w:val="Normal"/>
    <w:link w:val="Heading2Char"/>
    <w:qFormat/>
    <w:rsid w:val="000D7DF1"/>
    <w:pPr>
      <w:outlineLvl w:val="1"/>
    </w:pPr>
    <w:rPr>
      <w:rFonts w:ascii="Times New Roman" w:hAnsi="Times New Roman"/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7DF1"/>
    <w:rPr>
      <w:rFonts w:ascii="Helvetica" w:eastAsia="Times New Roman" w:hAnsi="Helvetica" w:cs="Times New Roman"/>
      <w:b/>
      <w:kern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D7DF1"/>
    <w:rPr>
      <w:rFonts w:ascii="Times New Roman" w:eastAsia="Times New Roman" w:hAnsi="Times New Roman" w:cs="Times New Roman"/>
      <w:i/>
      <w:kern w:val="28"/>
      <w:szCs w:val="20"/>
      <w:lang w:val="en-US"/>
    </w:rPr>
  </w:style>
  <w:style w:type="character" w:styleId="FootnoteReference">
    <w:name w:val="footnote reference"/>
    <w:uiPriority w:val="99"/>
    <w:semiHidden/>
    <w:rsid w:val="000D7DF1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0D7DF1"/>
    <w:pPr>
      <w:jc w:val="left"/>
    </w:pPr>
    <w:rPr>
      <w:rFonts w:ascii="Helvetica" w:hAnsi="Helvetica"/>
      <w:b/>
    </w:rPr>
  </w:style>
  <w:style w:type="paragraph" w:customStyle="1" w:styleId="Paper-Title">
    <w:name w:val="Paper-Title"/>
    <w:basedOn w:val="Normal"/>
    <w:rsid w:val="000D7DF1"/>
    <w:pPr>
      <w:spacing w:after="120"/>
      <w:jc w:val="left"/>
    </w:pPr>
    <w:rPr>
      <w:rFonts w:ascii="Helvetica" w:hAnsi="Helvetica"/>
      <w:b/>
      <w:sz w:val="32"/>
    </w:rPr>
  </w:style>
  <w:style w:type="paragraph" w:styleId="FootnoteText">
    <w:name w:val="footnote text"/>
    <w:basedOn w:val="Normal"/>
    <w:link w:val="FootnoteTextChar"/>
    <w:semiHidden/>
    <w:rsid w:val="000D7DF1"/>
    <w:pPr>
      <w:ind w:left="144" w:hanging="14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7DF1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Footer">
    <w:name w:val="footer"/>
    <w:basedOn w:val="Normal"/>
    <w:link w:val="FooterChar"/>
    <w:rsid w:val="000D7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D7DF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Heading1"/>
    <w:rsid w:val="000D7DF1"/>
    <w:pPr>
      <w:outlineLvl w:val="9"/>
    </w:pPr>
    <w:rPr>
      <w:sz w:val="20"/>
    </w:rPr>
  </w:style>
  <w:style w:type="paragraph" w:customStyle="1" w:styleId="References">
    <w:name w:val="References"/>
    <w:basedOn w:val="Normal"/>
    <w:rsid w:val="000D7DF1"/>
    <w:pPr>
      <w:ind w:left="144" w:hanging="144"/>
    </w:pPr>
    <w:rPr>
      <w:sz w:val="18"/>
    </w:rPr>
  </w:style>
  <w:style w:type="character" w:styleId="PageNumber">
    <w:name w:val="page number"/>
    <w:basedOn w:val="DefaultParagraphFont"/>
    <w:rsid w:val="000D7DF1"/>
  </w:style>
  <w:style w:type="paragraph" w:styleId="BodyTextIndent2">
    <w:name w:val="Body Text Indent 2"/>
    <w:basedOn w:val="Normal"/>
    <w:link w:val="BodyTextIndent2Char"/>
    <w:rsid w:val="000D7DF1"/>
  </w:style>
  <w:style w:type="character" w:customStyle="1" w:styleId="BodyTextIndent2Char">
    <w:name w:val="Body Text Indent 2 Char"/>
    <w:basedOn w:val="DefaultParagraphFont"/>
    <w:link w:val="BodyTextIndent2"/>
    <w:rsid w:val="000D7DF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agetitle1">
    <w:name w:val="pagetitle1"/>
    <w:basedOn w:val="DefaultParagraphFont"/>
    <w:rsid w:val="00E33D8D"/>
    <w:rPr>
      <w:rFonts w:ascii="Arial" w:hAnsi="Arial" w:cs="Arial" w:hint="default"/>
      <w:b w:val="0"/>
      <w:bCs w:val="0"/>
      <w:color w:val="000000"/>
      <w:sz w:val="27"/>
      <w:szCs w:val="27"/>
    </w:rPr>
  </w:style>
  <w:style w:type="character" w:customStyle="1" w:styleId="bodycopy1">
    <w:name w:val="bodycopy1"/>
    <w:basedOn w:val="DefaultParagraphFont"/>
    <w:rsid w:val="00E33D8D"/>
    <w:rPr>
      <w:rFonts w:ascii="Verdana" w:hAnsi="Verdana" w:hint="default"/>
      <w:color w:val="000000"/>
      <w:sz w:val="17"/>
      <w:szCs w:val="17"/>
    </w:rPr>
  </w:style>
  <w:style w:type="character" w:styleId="Hyperlink">
    <w:name w:val="Hyperlink"/>
    <w:rsid w:val="00E33D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97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37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A9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A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A9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B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14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ps">
    <w:name w:val="hps"/>
    <w:basedOn w:val="DefaultParagraphFont"/>
    <w:rsid w:val="00C6319C"/>
  </w:style>
  <w:style w:type="paragraph" w:styleId="NormalWeb">
    <w:name w:val="Normal (Web)"/>
    <w:basedOn w:val="Normal"/>
    <w:rsid w:val="00C6319C"/>
    <w:pPr>
      <w:spacing w:before="100" w:beforeAutospacing="1" w:after="100" w:afterAutospacing="1"/>
      <w:ind w:firstLine="0"/>
      <w:jc w:val="left"/>
    </w:pPr>
    <w:rPr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pan1.un.org/intradoc/groups/public/documents/untc/unpan01784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fla.org/VII/s32/pub/MulticulturalLibraryManifesto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D3725-ED98-470F-B186-CB6FDFB8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lastModifiedBy>Admin</cp:lastModifiedBy>
  <cp:revision>21</cp:revision>
  <cp:lastPrinted>2014-05-08T08:59:00Z</cp:lastPrinted>
  <dcterms:created xsi:type="dcterms:W3CDTF">2018-06-26T12:18:00Z</dcterms:created>
  <dcterms:modified xsi:type="dcterms:W3CDTF">2018-07-31T08:52:00Z</dcterms:modified>
</cp:coreProperties>
</file>