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2026.03.16-LSA-DX主站流水清零策略优化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需求版本管理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1500"/>
        <w:gridCol w:w="2100"/>
        <w:gridCol w:w="2550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版本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作者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1.0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2026-03-16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3370ff"/>
                <w:sz w:val="22"/>
              </w:rPr>
              <w:t>@Kaito - 产品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需求初始化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 xml:space="preserve"> 需求背景</w:t>
      </w:r>
      <w:bookmarkEnd w:id="1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26"/>
        <w:gridCol w:w="5553"/>
      </w:tblGrid>
      <w:tr>
        <w:tc>
          <w:tcPr>
            <w:tcW w:w="272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571625" cy="2105025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210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流水清零配置</w:t>
              <w:br/>
            </w:r>
          </w:p>
        </w:tc>
        <w:tc>
          <w:tcPr>
            <w:tcW w:w="555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为避免用户余额输光后，仍无法通过流水稽核的负面体验，DX提供“流水清零”功能；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当会员余额低于后台配置阈值时，清空所有流水；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字典值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account.member.withdraw.clear.minimum.multi.currency</w:t>
            </w:r>
          </w:p>
        </w:tc>
      </w:tr>
    </w:tbl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“流水清零”策略当前已处理“场馆钱包”和“未结算注单”两类套利风险场景；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80"/>
        <w:gridCol w:w="3885"/>
        <w:gridCol w:w="2850"/>
      </w:tblGrid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套利风险场景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场景说明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规避方式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余额带入场馆钱包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德州和棋牌两场馆使用场馆钱包，进入场馆后带入全部余额；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57450" cy="3048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同时判断场馆钱包和德信钱包余额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受参数字典控制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 xml:space="preserve">account.member.bill.clear.query.config 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未结算注单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用户在需要结算周期的场馆投注（如体育赛事赛果类盘口）；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此时若用户余额已低于活动清零阈值，系统会触发清零结算；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未结算注单，结算后可能产生可提现余额；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当用户存在待结算注单时，不触发清零逻辑；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待所有注单结算完成后，再判断是否执行清零；</w:t>
            </w:r>
          </w:p>
        </w:tc>
      </w:tr>
    </w:tbl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当前遗留一类投注后未拉到注单的套利风险场景：</w:t>
      </w:r>
      <w:hyperlink r:id="rId7">
        <w:r>
          <w:rPr>
            <w:rFonts w:eastAsia="等线" w:ascii="Arial" w:cs="Arial" w:hAnsi="Arial"/>
            <w:color w:val="3370ff"/>
            <w:sz w:val="22"/>
          </w:rPr>
          <w:t>故障群原始反馈</w:t>
        </w:r>
      </w:hyperlink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95"/>
        <w:gridCol w:w="3945"/>
        <w:gridCol w:w="2775"/>
      </w:tblGrid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套利风险场景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场景说明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规避方式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投注后未拉到注单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用户完成投注后，由于场馆接口延迟，系统未及时拉取到注单记录；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此时账户余额已变化且低于清零阈值，系统误判并触发清零结算；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本期新增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e928"/>
              </w:rPr>
              <w:t>当触发清零条件时，额外增加判断条件：10min 内有投注帐变的暂缓清零。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目标&amp;收益&amp;优先级</w:t>
      </w:r>
      <w:bookmarkEnd w:id="2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目标：优化流水清零策略，投注10min内暂缓流水清零；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收益：降低会员套利风险，防止平台资损；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优先级：B 级；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关联影响评估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是否会对其他已有功能产生影响：否（仅影响流水稽核）：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是否需要 App 强更：否（纯后端逻辑，作用于流水稽核）：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需求描述&amp;需求范围</w:t>
      </w:r>
      <w:bookmarkEnd w:id="3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需求范围说明：仅修改后端资金服务，作用于流水稽核，中控/会员端走查验证；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需求描述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资金服务执行流水清零时，额外增加判断条件：10min 内有以下帐变的账号暂缓流水清零；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单一钱包模式场馆投注账变列举如下：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45"/>
        <w:gridCol w:w="1935"/>
        <w:gridCol w:w="3465"/>
      </w:tblGrid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账变Code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中控账变名称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113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彩票投注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e928"/>
              </w:rPr>
              <w:t>包含 HC 彩票与 DB 彩票两个场馆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118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真人投注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e928"/>
              </w:rPr>
              <w:t>包含两个真人场馆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125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体育投注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137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体育用户预约下注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146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电竞投注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165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电子投注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注意：需要包含</w:t>
            </w:r>
            <w:r>
              <w:rPr>
                <w:rFonts w:eastAsia="等线" w:ascii="Arial" w:cs="Arial" w:hAnsi="Arial"/>
                <w:color w:val="646a73"/>
                <w:sz w:val="22"/>
                <w:shd w:fill="ffe928"/>
              </w:rPr>
              <w:t>多币种的游戏场馆商户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，各币种下的商户独立判断；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附录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>需求相关链接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57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需求单</w:t>
            </w:r>
          </w:p>
        </w:tc>
        <w:tc>
          <w:tcPr>
            <w:tcW w:w="5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https://pingcode.dx268.com/pjm/workitems/-5w_yq90?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#LUC-54498 DX主站流水清零策略优化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UI稿</w:t>
            </w:r>
          </w:p>
        </w:tc>
        <w:tc>
          <w:tcPr>
            <w:tcW w:w="5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/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4.2 </w:t>
      </w:r>
      <w:r>
        <w:rPr>
          <w:rFonts w:eastAsia="等线" w:ascii="Arial" w:cs="Arial" w:hAnsi="Arial"/>
          <w:b w:val="true"/>
          <w:sz w:val="32"/>
        </w:rPr>
        <w:t>各模块干系人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开发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测试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资金服务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4.3 </w:t>
      </w:r>
      <w:r>
        <w:rPr>
          <w:rFonts w:eastAsia="等线" w:ascii="Arial" w:cs="Arial" w:hAnsi="Arial"/>
          <w:b w:val="true"/>
          <w:sz w:val="32"/>
        </w:rPr>
        <w:t>相关文档</w:t>
      </w:r>
      <w:bookmarkEnd w:id="7"/>
    </w:p>
    <w:p>
      <w:pPr>
        <w:numPr>
          <w:numId w:val="24"/>
        </w:num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2026.02.07-LSA-阿拉伯站A-EGP代理拉新活动</w:t>
        </w:r>
      </w:hyperlink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7106">
    <w:lvl>
      <w:numFmt w:val="bullet"/>
      <w:suff w:val="tab"/>
      <w:lvlText w:val="•"/>
      <w:rPr>
        <w:color w:val="3370ff"/>
      </w:rPr>
    </w:lvl>
  </w:abstractNum>
  <w:abstractNum w:abstractNumId="117107">
    <w:lvl>
      <w:numFmt w:val="bullet"/>
      <w:suff w:val="tab"/>
      <w:lvlText w:val="•"/>
      <w:rPr>
        <w:color w:val="3370ff"/>
      </w:rPr>
    </w:lvl>
  </w:abstractNum>
  <w:abstractNum w:abstractNumId="117108">
    <w:lvl>
      <w:numFmt w:val="bullet"/>
      <w:suff w:val="tab"/>
      <w:lvlText w:val="•"/>
      <w:rPr>
        <w:color w:val="3370ff"/>
      </w:rPr>
    </w:lvl>
  </w:abstractNum>
  <w:abstractNum w:abstractNumId="117109">
    <w:lvl>
      <w:numFmt w:val="bullet"/>
      <w:suff w:val="tab"/>
      <w:lvlText w:val="•"/>
      <w:rPr>
        <w:color w:val="3370ff"/>
      </w:rPr>
    </w:lvl>
  </w:abstractNum>
  <w:abstractNum w:abstractNumId="117110">
    <w:lvl>
      <w:numFmt w:val="bullet"/>
      <w:suff w:val="tab"/>
      <w:lvlText w:val="•"/>
      <w:rPr>
        <w:color w:val="3370ff"/>
      </w:rPr>
    </w:lvl>
  </w:abstractNum>
  <w:abstractNum w:abstractNumId="117111">
    <w:lvl>
      <w:numFmt w:val="bullet"/>
      <w:suff w:val="tab"/>
      <w:lvlText w:val="•"/>
      <w:rPr>
        <w:color w:val="3370ff"/>
      </w:rPr>
    </w:lvl>
  </w:abstractNum>
  <w:abstractNum w:abstractNumId="117112">
    <w:lvl>
      <w:numFmt w:val="bullet"/>
      <w:suff w:val="tab"/>
      <w:lvlText w:val="•"/>
      <w:rPr>
        <w:color w:val="3370ff"/>
      </w:rPr>
    </w:lvl>
  </w:abstractNum>
  <w:abstractNum w:abstractNumId="117113">
    <w:lvl>
      <w:numFmt w:val="bullet"/>
      <w:suff w:val="tab"/>
      <w:lvlText w:val="•"/>
      <w:rPr>
        <w:color w:val="3370ff"/>
      </w:rPr>
    </w:lvl>
  </w:abstractNum>
  <w:abstractNum w:abstractNumId="117114">
    <w:lvl>
      <w:numFmt w:val="bullet"/>
      <w:suff w:val="tab"/>
      <w:lvlText w:val="•"/>
      <w:rPr>
        <w:color w:val="3370ff"/>
      </w:rPr>
    </w:lvl>
  </w:abstractNum>
  <w:abstractNum w:abstractNumId="117115">
    <w:lvl>
      <w:numFmt w:val="bullet"/>
      <w:suff w:val="tab"/>
      <w:lvlText w:val="•"/>
      <w:rPr>
        <w:color w:val="3370ff"/>
      </w:rPr>
    </w:lvl>
  </w:abstractNum>
  <w:abstractNum w:abstractNumId="117116">
    <w:lvl>
      <w:numFmt w:val="bullet"/>
      <w:suff w:val="tab"/>
      <w:lvlText w:val="•"/>
      <w:rPr>
        <w:color w:val="3370ff"/>
      </w:rPr>
    </w:lvl>
  </w:abstractNum>
  <w:abstractNum w:abstractNumId="117117">
    <w:lvl>
      <w:numFmt w:val="bullet"/>
      <w:suff w:val="tab"/>
      <w:lvlText w:val="•"/>
      <w:rPr>
        <w:color w:val="3370ff"/>
      </w:rPr>
    </w:lvl>
  </w:abstractNum>
  <w:abstractNum w:abstractNumId="117118">
    <w:lvl>
      <w:numFmt w:val="bullet"/>
      <w:suff w:val="tab"/>
      <w:lvlText w:val="•"/>
      <w:rPr>
        <w:color w:val="3370ff"/>
      </w:rPr>
    </w:lvl>
  </w:abstractNum>
  <w:abstractNum w:abstractNumId="117119">
    <w:lvl>
      <w:numFmt w:val="bullet"/>
      <w:suff w:val="tab"/>
      <w:lvlText w:val="•"/>
      <w:rPr>
        <w:color w:val="3370ff"/>
      </w:rPr>
    </w:lvl>
  </w:abstractNum>
  <w:abstractNum w:abstractNumId="117120">
    <w:lvl>
      <w:numFmt w:val="bullet"/>
      <w:suff w:val="tab"/>
      <w:lvlText w:val="•"/>
      <w:rPr>
        <w:color w:val="3370ff"/>
      </w:rPr>
    </w:lvl>
  </w:abstractNum>
  <w:abstractNum w:abstractNumId="117121">
    <w:lvl>
      <w:numFmt w:val="bullet"/>
      <w:suff w:val="tab"/>
      <w:lvlText w:val="•"/>
      <w:rPr>
        <w:color w:val="3370ff"/>
      </w:rPr>
    </w:lvl>
  </w:abstractNum>
  <w:abstractNum w:abstractNumId="117122">
    <w:lvl>
      <w:numFmt w:val="bullet"/>
      <w:suff w:val="tab"/>
      <w:lvlText w:val="•"/>
      <w:rPr>
        <w:color w:val="3370ff"/>
      </w:rPr>
    </w:lvl>
  </w:abstractNum>
  <w:abstractNum w:abstractNumId="117123">
    <w:lvl>
      <w:numFmt w:val="bullet"/>
      <w:suff w:val="tab"/>
      <w:lvlText w:val="￮"/>
      <w:rPr>
        <w:color w:val="3370ff"/>
      </w:rPr>
    </w:lvl>
  </w:abstractNum>
  <w:abstractNum w:abstractNumId="117124">
    <w:lvl>
      <w:numFmt w:val="bullet"/>
      <w:suff w:val="tab"/>
      <w:lvlText w:val="￮"/>
      <w:rPr>
        <w:color w:val="3370ff"/>
      </w:rPr>
    </w:lvl>
  </w:abstractNum>
  <w:abstractNum w:abstractNumId="117125">
    <w:lvl>
      <w:numFmt w:val="bullet"/>
      <w:suff w:val="tab"/>
      <w:lvlText w:val="•"/>
      <w:rPr>
        <w:color w:val="3370ff"/>
      </w:rPr>
    </w:lvl>
  </w:abstractNum>
  <w:abstractNum w:abstractNumId="117126">
    <w:lvl>
      <w:numFmt w:val="bullet"/>
      <w:suff w:val="tab"/>
      <w:lvlText w:val="•"/>
      <w:rPr>
        <w:color w:val="3370ff"/>
      </w:rPr>
    </w:lvl>
  </w:abstractNum>
  <w:abstractNum w:abstractNumId="117127">
    <w:lvl>
      <w:numFmt w:val="bullet"/>
      <w:suff w:val="tab"/>
      <w:lvlText w:val="￮"/>
      <w:rPr>
        <w:color w:val="3370ff"/>
      </w:rPr>
    </w:lvl>
  </w:abstractNum>
  <w:abstractNum w:abstractNumId="117128">
    <w:lvl>
      <w:numFmt w:val="bullet"/>
      <w:suff w:val="tab"/>
      <w:lvlText w:val="￮"/>
      <w:rPr>
        <w:color w:val="3370ff"/>
      </w:rPr>
    </w:lvl>
  </w:abstractNum>
  <w:abstractNum w:abstractNumId="117129">
    <w:lvl>
      <w:numFmt w:val="bullet"/>
      <w:suff w:val="tab"/>
      <w:lvlText w:val="•"/>
      <w:rPr>
        <w:color w:val="3370ff"/>
      </w:rPr>
    </w:lvl>
  </w:abstractNum>
  <w:num w:numId="1">
    <w:abstractNumId w:val="117106"/>
  </w:num>
  <w:num w:numId="2">
    <w:abstractNumId w:val="117107"/>
  </w:num>
  <w:num w:numId="3">
    <w:abstractNumId w:val="117108"/>
  </w:num>
  <w:num w:numId="4">
    <w:abstractNumId w:val="117109"/>
  </w:num>
  <w:num w:numId="5">
    <w:abstractNumId w:val="117110"/>
  </w:num>
  <w:num w:numId="6">
    <w:abstractNumId w:val="117111"/>
  </w:num>
  <w:num w:numId="7">
    <w:abstractNumId w:val="117112"/>
  </w:num>
  <w:num w:numId="8">
    <w:abstractNumId w:val="117113"/>
  </w:num>
  <w:num w:numId="9">
    <w:abstractNumId w:val="117114"/>
  </w:num>
  <w:num w:numId="10">
    <w:abstractNumId w:val="117115"/>
  </w:num>
  <w:num w:numId="11">
    <w:abstractNumId w:val="117116"/>
  </w:num>
  <w:num w:numId="12">
    <w:abstractNumId w:val="117117"/>
  </w:num>
  <w:num w:numId="13">
    <w:abstractNumId w:val="117118"/>
  </w:num>
  <w:num w:numId="14">
    <w:abstractNumId w:val="117119"/>
  </w:num>
  <w:num w:numId="15">
    <w:abstractNumId w:val="117120"/>
  </w:num>
  <w:num w:numId="16">
    <w:abstractNumId w:val="117121"/>
  </w:num>
  <w:num w:numId="17">
    <w:abstractNumId w:val="117122"/>
  </w:num>
  <w:num w:numId="18">
    <w:abstractNumId w:val="117123"/>
  </w:num>
  <w:num w:numId="19">
    <w:abstractNumId w:val="117124"/>
  </w:num>
  <w:num w:numId="20">
    <w:abstractNumId w:val="117125"/>
  </w:num>
  <w:num w:numId="21">
    <w:abstractNumId w:val="117126"/>
  </w:num>
  <w:num w:numId="22">
    <w:abstractNumId w:val="117127"/>
  </w:num>
  <w:num w:numId="23">
    <w:abstractNumId w:val="117128"/>
  </w:num>
  <w:num w:numId="24">
    <w:abstractNumId w:val="11712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applink.larksuite.com/client/message/link/open?token=AmbEG9QEgAAfabe2AtGADt0%3D" TargetMode="External" Type="http://schemas.openxmlformats.org/officeDocument/2006/relationships/hyperlink"/><Relationship Id="rId8" Target="https://osg066bjspvw.sg.larksuite.com/wiki/F5S6wF2N7ibNLnkKXAylVJ4bgwh#Irnfd0c7oopmaex3YWYltMoXglf" TargetMode="External" Type="http://schemas.openxmlformats.org/officeDocument/2006/relationships/hyperlink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2026-03-20T11:57:32Z</dcterms:created>
  <dc:creator>Apache POI</dc:creator>
</cp:coreProperties>
</file>