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IntroSection"/>
        <w:keepNext/>
        <w:spacing w:after="120" w:before="0"/>
      </w:pPr>
      <w:r>
        <w:rPr>
          <w:rFonts w:ascii="Times New Roman" w:cs="Times New Roman" w:eastAsia="Times New Roman" w:hAnsi="Times New Roman"/>
          <w:b/>
          <w:bCs/>
          <w:sz w:val="24"/>
          <w:szCs w:val="24"/>
        </w:rPr>
        <w:t xml:space="preserve">3. Introduction</w:t>
      </w:r>
    </w:p>
    <w:p>
      <w:pPr>
        <w:spacing w:after="120" w:line="360"/>
        <w:ind w:firstLine="720"/>
        <w:jc w:val="both"/>
      </w:pPr>
      <w:r>
        <w:rPr>
          <w:rFonts w:ascii="Times New Roman" w:cs="Times New Roman" w:eastAsia="Times New Roman" w:hAnsi="Times New Roman"/>
          <w:sz w:val="24"/>
          <w:szCs w:val="24"/>
        </w:rPr>
        <w:t xml:space="preserve">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pPr>
        <w:pStyle w:val="IntroSubsection"/>
        <w:keepNext/>
        <w:spacing w:after="100" w:before="200"/>
      </w:pPr>
      <w:r>
        <w:rPr>
          <w:rFonts w:ascii="Times New Roman" w:cs="Times New Roman" w:eastAsia="Times New Roman" w:hAnsi="Times New Roman"/>
          <w:b/>
          <w:bCs/>
          <w:sz w:val="24"/>
          <w:szCs w:val="24"/>
        </w:rPr>
        <w:t xml:space="preserve">3.1 Background</w:t>
      </w:r>
    </w:p>
    <w:p>
      <w:pPr>
        <w:spacing w:after="120" w:line="360"/>
        <w:ind w:firstLine="720"/>
        <w:jc w:val="both"/>
      </w:pPr>
      <w:r>
        <w:rPr>
          <w:rFonts w:ascii="Times New Roman" w:cs="Times New Roman" w:eastAsia="Times New Roman" w:hAnsi="Times New Roman"/>
          <w:sz w:val="24"/>
          <w:szCs w:val="24"/>
        </w:rPr>
        <w:t xml:space="preserve">Automatic sign language processing has advanced quickly, but no system yet translates ASL reliably enough for general real-world use [1]. Research is divided into two tasks. </w:t>
      </w:r>
      <w:r>
        <w:rPr>
          <w:rFonts w:ascii="Times New Roman" w:cs="Times New Roman" w:eastAsia="Times New Roman" w:hAnsi="Times New Roman"/>
          <w:i/>
          <w:iCs/>
          <w:sz w:val="24"/>
          <w:szCs w:val="24"/>
        </w:rPr>
        <w:t xml:space="preserve">Isolated sign language recognition</w:t>
      </w:r>
      <w:r>
        <w:rPr>
          <w:rFonts w:ascii="Times New Roman" w:cs="Times New Roman" w:eastAsia="Times New Roman" w:hAnsi="Times New Roman"/>
          <w:sz w:val="24"/>
          <w:szCs w:val="24"/>
        </w:rPr>
        <w:t xml:space="preserve"> (ISLR) identifies a single sign from a fixed vocabulary. On the ASL Citizen dataset, which contains 83,399 videos of 2,731 signs from 52 signers, the best published baseline reaches 63.1% top-1 accuracy on signers not seen during training [2]. </w:t>
      </w:r>
      <w:r>
        <w:rPr>
          <w:rFonts w:ascii="Times New Roman" w:cs="Times New Roman" w:eastAsia="Times New Roman" w:hAnsi="Times New Roman"/>
          <w:i/>
          <w:iCs/>
          <w:sz w:val="24"/>
          <w:szCs w:val="24"/>
        </w:rPr>
        <w:t xml:space="preserve">Sign language translation</w:t>
      </w:r>
      <w:r>
        <w:rPr>
          <w:rFonts w:ascii="Times New Roman" w:cs="Times New Roman" w:eastAsia="Times New Roman" w:hAnsi="Times New Roman"/>
          <w:sz w:val="24"/>
          <w:szCs w:val="24"/>
        </w:rPr>
        <w:t xml:space="preserve"> (SLT) converts continuous signing into full sentences. SLT models have traditionally been trained on </w:t>
      </w:r>
      <w:r>
        <w:rPr>
          <w:rFonts w:ascii="Times New Roman" w:cs="Times New Roman" w:eastAsia="Times New Roman" w:hAnsi="Times New Roman"/>
          <w:i/>
          <w:iCs/>
          <w:sz w:val="24"/>
          <w:szCs w:val="24"/>
        </w:rPr>
        <w:t xml:space="preserve">glosses</w:t>
      </w:r>
      <w:r>
        <w:rPr>
          <w:rFonts w:ascii="Times New Roman" w:cs="Times New Roman" w:eastAsia="Times New Roman" w:hAnsi="Times New Roman"/>
          <w:sz w:val="24"/>
          <w:szCs w:val="24"/>
        </w:rPr>
        <w:t xml:space="preserve">, written labels for each sign in a sentence, which are expensive to annotate and scarce for ASL [3].</w:t>
      </w:r>
    </w:p>
    <w:p>
      <w:pPr>
        <w:spacing w:after="120" w:line="360"/>
        <w:ind w:firstLine="720"/>
        <w:jc w:val="both"/>
      </w:pPr>
      <w:r>
        <w:rPr>
          <w:rFonts w:ascii="Times New Roman" w:cs="Times New Roman" w:eastAsia="Times New Roman" w:hAnsi="Times New Roman"/>
          <w:sz w:val="24"/>
          <w:szCs w:val="24"/>
        </w:rPr>
        <w:t xml:space="preserve">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pPr>
        <w:spacing w:after="120" w:line="360"/>
        <w:ind w:firstLine="720"/>
        <w:jc w:val="both"/>
      </w:pPr>
      <w:r>
        <w:rPr>
          <w:rFonts w:ascii="Times New Roman" w:cs="Times New Roman" w:eastAsia="Times New Roman" w:hAnsi="Times New Roman"/>
          <w:sz w:val="24"/>
          <w:szCs w:val="24"/>
        </w:rPr>
        <w:t xml:space="preserve">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pPr>
        <w:pStyle w:val="IntroSubsection"/>
        <w:keepNext/>
        <w:spacing w:after="100" w:before="200"/>
      </w:pPr>
      <w:r>
        <w:rPr>
          <w:rFonts w:ascii="Times New Roman" w:cs="Times New Roman" w:eastAsia="Times New Roman" w:hAnsi="Times New Roman"/>
          <w:b/>
          <w:bCs/>
          <w:sz w:val="24"/>
          <w:szCs w:val="24"/>
        </w:rPr>
        <w:t xml:space="preserve">3.2 Problem Statement</w:t>
      </w:r>
    </w:p>
    <w:p>
      <w:pPr>
        <w:spacing w:after="120" w:line="360"/>
        <w:ind w:firstLine="720"/>
        <w:jc w:val="both"/>
      </w:pPr>
      <w:r>
        <w:rPr>
          <w:rFonts w:ascii="Times New Roman" w:cs="Times New Roman" w:eastAsia="Times New Roman" w:hAnsi="Times New Roman"/>
          <w:sz w:val="24"/>
          <w:szCs w:val="24"/>
        </w:rPr>
        <w:t xml:space="preserve">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pPr>
        <w:spacing w:after="120" w:line="360"/>
        <w:ind w:firstLine="720"/>
        <w:jc w:val="both"/>
      </w:pPr>
      <w:r>
        <w:rPr>
          <w:rFonts w:ascii="Times New Roman" w:cs="Times New Roman" w:eastAsia="Times New Roman" w:hAnsi="Times New Roman"/>
          <w:sz w:val="24"/>
          <w:szCs w:val="24"/>
        </w:rPr>
        <w:t xml:space="preserve">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120" w:line="360"/>
        <w:ind w:firstLine="720"/>
        <w:jc w:val="both"/>
      </w:pPr>
      <w:r>
        <w:rPr>
          <w:rFonts w:ascii="Times New Roman" w:cs="Times New Roman" w:eastAsia="Times New Roman" w:hAnsi="Times New Roman"/>
          <w:sz w:val="24"/>
          <w:szCs w:val="24"/>
        </w:rP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pStyle w:val="IntroSubsection"/>
        <w:keepNext/>
        <w:spacing w:after="100" w:before="200"/>
      </w:pPr>
      <w:r>
        <w:rPr>
          <w:rFonts w:ascii="Times New Roman" w:cs="Times New Roman" w:eastAsia="Times New Roman" w:hAnsi="Times New Roman"/>
          <w:b/>
          <w:bCs/>
          <w:sz w:val="24"/>
          <w:szCs w:val="24"/>
        </w:rPr>
        <w:t xml:space="preserve">3.3 Objectives</w:t>
      </w:r>
    </w:p>
    <w:p>
      <w:pPr>
        <w:spacing w:after="120" w:line="360"/>
        <w:ind w:firstLine="720"/>
        <w:jc w:val="both"/>
      </w:pPr>
      <w:r>
        <w:rPr>
          <w:rFonts w:ascii="Times New Roman" w:cs="Times New Roman" w:eastAsia="Times New Roman" w:hAnsi="Times New Roman"/>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120" w:line="360"/>
        <w:ind w:firstLine="720"/>
        <w:jc w:val="both"/>
      </w:pPr>
      <w:r>
        <w:rPr>
          <w:rFonts w:ascii="Times New Roman" w:cs="Times New Roman" w:eastAsia="Times New Roman" w:hAnsi="Times New Roman"/>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the technology. Participants also held their lowest accuracy expectations for kiosk-type exchanges and their highest for medical settings [1]. A service counter is therefore a realistic first target for a system with a vocabulary of a few hundred signs.</w:t>
      </w:r>
    </w:p>
    <w:p>
      <w:pPr>
        <w:keepNext/>
        <w:spacing w:after="60" w:before="240"/>
        <w:jc w:val="center"/>
      </w:pPr>
      <w:r>
        <w:drawing>
          <wp:inline distT="0" distB="0" distL="0" distR="0">
            <wp:extent cx="5760720" cy="3181350"/>
            <wp:effectExtent t="0" r="0" b="0" l="0"/>
            <wp:docPr id="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0720" cy="31813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pPr>
        <w:keepNext/>
        <w:spacing w:after="120" w:before="240"/>
        <w:jc w:val="center"/>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Design targets for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cantSplit/>
          <w:tblHeader/>
        </w:trPr>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Parameter</w:t>
            </w:r>
          </w:p>
        </w:tc>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Target</w:t>
            </w:r>
          </w:p>
        </w:tc>
        <w:tc>
          <w:tcPr>
            <w:tcW w:type="dxa" w:w="35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Rationale</w:t>
            </w:r>
          </w:p>
        </w:tc>
      </w:tr>
      <w:tr>
        <w:trPr>
          <w:cantSplit/>
          <w:tblHeader w:val="false"/>
        </w:trPr>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Vocabulary</w:t>
            </w:r>
          </w:p>
        </w:tc>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100–250 ASL signs, with fingerspelling as a fallback</w:t>
            </w:r>
          </w:p>
        </w:tc>
        <w:tc>
          <w:tcPr>
            <w:tcW w:type="dxa" w:w="35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Covers common service-counter exchanges</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Top-1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75%</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Best published baseline is 63.1% on all 2,731 ASL Citizen signs [2]</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Top-5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90%</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The correct sign should almost always appear in the candidate list</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Latency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&lt; 1.2 s from confirmation to speech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Keeps the conversation flowing</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Output languages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English, Turkish, Spanish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Chosen by the user on the touchscreen</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Connectivity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Fully offline</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Works anywhere; no video leaves the device</w:t>
            </w:r>
          </w:p>
        </w:tc>
      </w:tr>
      <w:tr>
        <w:trPr>
          <w:cantSplit/>
          <w:tblHeader w:val="false"/>
        </w:trPr>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Platform</w:t>
            </w:r>
          </w:p>
        </w:tc>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NVIDIA Jetson Orin Nano</w:t>
            </w:r>
          </w:p>
        </w:tc>
        <w:tc>
          <w:tcPr>
            <w:tcW w:type="dxa" w:w="35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Embedded GPU in a portable enclosure</w:t>
            </w:r>
          </w:p>
        </w:tc>
      </w:tr>
    </w:tbl>
    <w:p>
      <w:pPr>
        <w:spacing w:after="240"/>
      </w:pPr>
    </w:p>
    <w:p>
      <w:pPr>
        <w:pStyle w:val="IntroSubsection"/>
        <w:keepNext/>
        <w:spacing w:after="100" w:before="200"/>
      </w:pPr>
      <w:r>
        <w:rPr>
          <w:rFonts w:ascii="Times New Roman" w:cs="Times New Roman" w:eastAsia="Times New Roman" w:hAnsi="Times New Roman"/>
          <w:b/>
          <w:bCs/>
          <w:sz w:val="24"/>
          <w:szCs w:val="24"/>
        </w:rPr>
        <w:t xml:space="preserve">3.4 Proposed Approach</w:t>
      </w:r>
    </w:p>
    <w:p>
      <w:pPr>
        <w:spacing w:after="120" w:line="360"/>
        <w:ind w:firstLine="720"/>
        <w:jc w:val="both"/>
      </w:pPr>
      <w:r>
        <w:rPr>
          <w:rFonts w:ascii="Times New Roman" w:cs="Times New Roman" w:eastAsia="Times New Roman" w:hAnsi="Times New Roman"/>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pauses, and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pPr>
        <w:keepNext/>
        <w:spacing w:after="60" w:before="240"/>
        <w:jc w:val="center"/>
      </w:pPr>
      <w:r>
        <w:drawing>
          <wp:inline distT="0" distB="0" distL="0" distR="0">
            <wp:extent cx="5120640" cy="2952750"/>
            <wp:effectExtent t="0" r="0" b="0" l="0"/>
            <wp:docPr id="1"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29527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The proposed device in use at a service counter (side view). The camera and touchscreen face the Deaf user; the speaker and microphone face the hearing staff member. All processing runs on the Jetson Orin Nano inside the base, without a network connection.</w:t>
      </w:r>
    </w:p>
    <w:p>
      <w:pPr>
        <w:spacing w:after="120" w:line="360"/>
        <w:ind w:firstLine="720"/>
        <w:jc w:val="both"/>
      </w:pPr>
      <w:r>
        <w:rPr>
          <w:rFonts w:ascii="Times New Roman" w:cs="Times New Roman" w:eastAsia="Times New Roman" w:hAnsi="Times New Roman"/>
          <w:sz w:val="24"/>
          <w:szCs w:val="24"/>
        </w:rP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pPr>
        <w:spacing w:after="120" w:line="360"/>
        <w:ind w:firstLine="720"/>
        <w:jc w:val="both"/>
      </w:pPr>
      <w:r>
        <w:rPr>
          <w:rFonts w:ascii="Times New Roman" w:cs="Times New Roman" w:eastAsia="Times New Roman" w:hAnsi="Times New Roman"/>
          <w:sz w:val="24"/>
          <w:szCs w:val="24"/>
        </w:rP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abstain on uncertain inputs to raise accuracy on the answers it does give [14]. We will evaluate this trade-off with risk–coverage curves and report accuracy separately for each test signer.</w:t>
      </w:r>
    </w:p>
    <w:p>
      <w:pPr>
        <w:pStyle w:val="IntroSubsection"/>
        <w:keepNext/>
        <w:spacing w:after="100" w:before="200"/>
      </w:pPr>
      <w:r>
        <w:rPr>
          <w:rFonts w:ascii="Times New Roman" w:cs="Times New Roman" w:eastAsia="Times New Roman" w:hAnsi="Times New Roman"/>
          <w:b/>
          <w:bCs/>
          <w:sz w:val="24"/>
          <w:szCs w:val="24"/>
        </w:rPr>
        <w:t xml:space="preserve">3.5 Current Trends</w:t>
      </w:r>
    </w:p>
    <w:p>
      <w:pPr>
        <w:spacing w:after="120" w:line="360"/>
        <w:ind w:firstLine="720"/>
        <w:jc w:val="both"/>
      </w:pPr>
      <w:r>
        <w:rPr>
          <w:rFonts w:ascii="Times New Roman" w:cs="Times New Roman" w:eastAsia="Times New Roman" w:hAnsi="Times New Roman"/>
          <w:sz w:val="24"/>
          <w:szCs w:val="24"/>
        </w:rPr>
        <w:t xml:space="preserve">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pPr>
        <w:pStyle w:val="IntroSubsection"/>
        <w:keepNext/>
        <w:spacing w:after="100" w:before="200"/>
      </w:pPr>
      <w:r>
        <w:rPr>
          <w:rFonts w:ascii="Times New Roman" w:cs="Times New Roman" w:eastAsia="Times New Roman" w:hAnsi="Times New Roman"/>
          <w:b/>
          <w:bCs/>
          <w:sz w:val="24"/>
          <w:szCs w:val="24"/>
        </w:rPr>
        <w:t xml:space="preserve">3.6 Existing Systems</w:t>
      </w:r>
    </w:p>
    <w:p>
      <w:pPr>
        <w:spacing w:after="120" w:line="360"/>
        <w:ind w:firstLine="720"/>
        <w:jc w:val="both"/>
      </w:pPr>
      <w:r>
        <w:rPr>
          <w:rFonts w:ascii="Times New Roman" w:cs="Times New Roman" w:eastAsia="Times New Roman" w:hAnsi="Times New Roman"/>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to: 69% of the survey participants were comfortable using a stand-alone system of this kind, compared with 38% for wearables [1].</w:t>
      </w:r>
    </w:p>
    <w:p>
      <w:pPr>
        <w:keepNext/>
        <w:spacing w:after="120" w:before="240"/>
        <w:jc w:val="center"/>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cantSplit/>
          <w:tblHeader/>
        </w:trPr>
        <w:tc>
          <w:tcPr>
            <w:tcW w:type="dxa" w:w="17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System</w:t>
            </w:r>
          </w:p>
        </w:tc>
        <w:tc>
          <w:tcPr>
            <w:tcW w:type="dxa" w:w="21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Input</w:t>
            </w:r>
          </w:p>
        </w:tc>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Processing</w:t>
            </w:r>
          </w:p>
        </w:tc>
        <w:tc>
          <w:tcPr>
            <w:tcW w:type="dxa" w:w="36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Output</w:t>
            </w:r>
          </w:p>
        </w:tc>
      </w:tr>
      <w:tr>
        <w:trPr>
          <w:cantSplit/>
          <w:tblHeader w:val="false"/>
        </w:trPr>
        <w:tc>
          <w:tcPr>
            <w:tcW w:type="dxa" w:w="17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Avodah [18]</w:t>
            </w:r>
          </w:p>
        </w:tc>
        <w:tc>
          <w:tcPr>
            <w:tcW w:type="dxa" w:w="21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Multiple cameras and a depth sensor</w:t>
            </w:r>
          </w:p>
        </w:tc>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On device and in the cloud</w:t>
            </w:r>
          </w:p>
        </w:tc>
        <w:tc>
          <w:tcPr>
            <w:tcW w:type="dxa" w:w="36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speech or a signing avatar; two-way</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Sign-Speak [19]</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Single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Remote server (requires a network connection)</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in a target language; optional menu of the three most likely translations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Bosch [20]</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Gloves with motion sensors</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External processor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or audio in one or more languages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Hitachi [21] (expired)</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Data gloves or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Local computer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or synthesized speech</w:t>
            </w:r>
          </w:p>
        </w:tc>
      </w:tr>
      <w:tr>
        <w:trPr>
          <w:cantSplit/>
          <w:tblHeader w:val="false"/>
        </w:trPr>
        <w:tc>
          <w:tcPr>
            <w:tcW w:type="dxa" w:w="17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iCs/>
                <w:sz w:val="20"/>
                <w:szCs w:val="20"/>
              </w:rPr>
              <w:t xml:space="preserve">Proposed device</w:t>
            </w:r>
          </w:p>
        </w:tc>
        <w:tc>
          <w:tcPr>
            <w:tcW w:type="dxa" w:w="21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Single RGB camera and microphone</w:t>
            </w:r>
          </w:p>
        </w:tc>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On device, fully offline</w:t>
            </w:r>
          </w:p>
        </w:tc>
        <w:tc>
          <w:tcPr>
            <w:tcW w:type="dxa" w:w="36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Speech in English, Turkish or Spanish after user confirmation; reply shown as English text</w:t>
            </w:r>
          </w:p>
        </w:tc>
      </w:tr>
    </w:tbl>
    <w:p>
      <w:pPr>
        <w:spacing w:after="240"/>
      </w:pPr>
    </w:p>
    <w:p>
      <w:pPr>
        <w:keepNext/>
        <w:spacing w:after="60" w:before="240"/>
        <w:jc w:val="center"/>
      </w:pPr>
      <w:r>
        <w:drawing>
          <wp:inline distT="0" distB="0" distL="0" distR="0">
            <wp:extent cx="5120640" cy="2981325"/>
            <wp:effectExtent t="0" r="0" b="0" l="0"/>
            <wp:docPr id="1"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981325"/>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Translation architecture in the Sign-Speak patent. A mobile capture device sends data to a remote server, where features are extracted and signs are matched against a sign and sentence base. Reproduced from U.S. Patent Appl. Pub. 2022/0327961 A1 [19].</w:t>
      </w:r>
    </w:p>
    <w:p>
      <w:pPr>
        <w:pStyle w:val="IntroSubsection"/>
        <w:keepNext/>
        <w:spacing w:after="100" w:before="200"/>
      </w:pPr>
      <w:r>
        <w:rPr>
          <w:rFonts w:ascii="Times New Roman" w:cs="Times New Roman" w:eastAsia="Times New Roman" w:hAnsi="Times New Roman"/>
          <w:b/>
          <w:bCs/>
          <w:sz w:val="24"/>
          <w:szCs w:val="24"/>
        </w:rPr>
        <w:t xml:space="preserve">3.7 Ethics, Economics and Sustainability</w:t>
      </w:r>
    </w:p>
    <w:p>
      <w:pPr>
        <w:spacing w:after="120" w:line="360"/>
        <w:ind w:firstLine="720"/>
        <w:jc w:val="both"/>
      </w:pPr>
      <w:r>
        <w:rPr>
          <w:rFonts w:ascii="Times New Roman" w:cs="Times New Roman" w:eastAsia="Times New Roman" w:hAnsi="Times New Roman"/>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survey found the same pattern: about 80% of Deaf respondents were concerned about hearing people making money from sign language technology, and about 70% about the lack of Deaf people leading or contributing to it (Fig. 4) [16]. We address these concerns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pPr>
        <w:keepNext/>
        <w:spacing w:after="60" w:before="240"/>
        <w:jc w:val="center"/>
      </w:pPr>
      <w:r>
        <w:drawing>
          <wp:inline distT="0" distB="0" distL="0" distR="0">
            <wp:extent cx="5760720" cy="1619250"/>
            <wp:effectExtent t="0" r="0" b="0" l="0"/>
            <wp:docPr id="1"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16192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Concerns about sign language technologies among Deaf, hard-of-hearing and hearing respondents in a global survey; numbers in parentheses are the number of mentions. Reproduced from Atwell et al. [16] under the Creative Commons Attribution 4.0 (CC BY 4.0) license.</w:t>
      </w:r>
    </w:p>
    <w:p>
      <w:pPr>
        <w:spacing w:after="120" w:line="360"/>
        <w:ind w:firstLine="720"/>
        <w:jc w:val="both"/>
      </w:pPr>
      <w:r>
        <w:rPr>
          <w:rFonts w:ascii="Times New Roman" w:cs="Times New Roman" w:eastAsia="Times New Roman" w:hAnsi="Times New Roman"/>
          <w:sz w:val="24"/>
          <w:szCs w:val="24"/>
        </w:rP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r>
        <w:br w:type="page"/>
      </w:r>
    </w:p>
    <w:p>
      <w:pPr>
        <w:pStyle w:val="IntroSection"/>
        <w:keepNext/>
        <w:spacing w:after="120" w:before="0"/>
      </w:pPr>
      <w:r>
        <w:rPr>
          <w:rFonts w:ascii="Times New Roman" w:cs="Times New Roman" w:eastAsia="Times New Roman" w:hAnsi="Times New Roman"/>
          <w:b/>
          <w:bCs/>
          <w:sz w:val="24"/>
          <w:szCs w:val="24"/>
        </w:rPr>
        <w:t xml:space="preserve">4. Technical Goals</w:t>
      </w:r>
    </w:p>
    <w:p>
      <w:pPr>
        <w:spacing w:after="120" w:line="360"/>
        <w:ind w:firstLine="720"/>
        <w:jc w:val="both"/>
      </w:pPr>
      <w:r>
        <w:rPr>
          <w:rFonts w:ascii="Times New Roman" w:cs="Times New Roman" w:eastAsia="Times New Roman" w:hAnsi="Times New Roman"/>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pPr>
        <w:pStyle w:val="IntroSubsection"/>
        <w:keepNext/>
        <w:spacing w:after="100" w:before="200"/>
      </w:pPr>
      <w:r>
        <w:rPr>
          <w:rFonts w:ascii="Times New Roman" w:cs="Times New Roman" w:eastAsia="Times New Roman" w:hAnsi="Times New Roman"/>
          <w:b/>
          <w:bCs/>
          <w:sz w:val="24"/>
          <w:szCs w:val="24"/>
        </w:rPr>
        <w:t xml:space="preserve">4.1 Goal 1: Sign Recognition with Abstention</w:t>
      </w:r>
    </w:p>
    <w:p>
      <w:pPr>
        <w:spacing w:after="120" w:line="360"/>
        <w:ind w:firstLine="720"/>
        <w:jc w:val="both"/>
      </w:pPr>
      <w:r>
        <w:rPr>
          <w:rFonts w:ascii="Times New Roman" w:cs="Times New Roman" w:eastAsia="Times New Roman" w:hAnsi="Times New Roman"/>
          <w:sz w:val="24"/>
          <w:szCs w:val="24"/>
        </w:rPr>
        <w:t xml:space="preserve">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pPr>
        <w:spacing w:after="120" w:line="360"/>
        <w:ind w:firstLine="720"/>
        <w:jc w:val="both"/>
      </w:pPr>
      <w:r>
        <w:rPr>
          <w:rFonts w:ascii="Times New Roman" w:cs="Times New Roman" w:eastAsia="Times New Roman" w:hAnsi="Times New Roman"/>
          <w:sz w:val="24"/>
          <w:szCs w:val="24"/>
        </w:rPr>
        <w:t xml:space="preserve">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pPr>
        <w:spacing w:after="120" w:line="360"/>
        <w:ind w:firstLine="720"/>
        <w:jc w:val="both"/>
      </w:pPr>
      <w:r>
        <w:rPr>
          <w:rFonts w:ascii="Times New Roman" w:cs="Times New Roman" w:eastAsia="Times New Roman" w:hAnsi="Times New Roman"/>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w:t>
      </w:r>
    </w:p>
    <w:p>
      <w:pPr>
        <w:pStyle w:val="IntroSubsection"/>
        <w:keepNext/>
        <w:spacing w:after="100" w:before="200"/>
      </w:pPr>
      <w:r>
        <w:rPr>
          <w:rFonts w:ascii="Times New Roman" w:cs="Times New Roman" w:eastAsia="Times New Roman" w:hAnsi="Times New Roman"/>
          <w:b/>
          <w:bCs/>
          <w:sz w:val="24"/>
          <w:szCs w:val="24"/>
        </w:rPr>
        <w:t xml:space="preserve">4.2 Goal 2: Confirmed Multilingual Speech and Two-Way Conversation</w:t>
      </w:r>
    </w:p>
    <w:p>
      <w:pPr>
        <w:spacing w:after="120" w:line="360"/>
        <w:ind w:firstLine="720"/>
        <w:jc w:val="both"/>
      </w:pPr>
      <w:r>
        <w:rPr>
          <w:rFonts w:ascii="Times New Roman" w:cs="Times New Roman" w:eastAsia="Times New Roman" w:hAnsi="Times New Roman"/>
          <w:sz w:val="24"/>
          <w:szCs w:val="24"/>
        </w:rPr>
        <w:t xml:space="preserve">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pPr>
        <w:spacing w:after="120" w:line="360"/>
        <w:ind w:firstLine="720"/>
        <w:jc w:val="both"/>
      </w:pPr>
      <w:r>
        <w:rPr>
          <w:rFonts w:ascii="Times New Roman" w:cs="Times New Roman" w:eastAsia="Times New Roman" w:hAnsi="Times New Roman"/>
          <w:sz w:val="24"/>
          <w:szCs w:val="24"/>
        </w:rPr>
        <w:t xml:space="preserve">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pPr>
        <w:spacing w:after="120" w:line="360"/>
        <w:ind w:firstLine="720"/>
        <w:jc w:val="both"/>
      </w:pPr>
      <w:r>
        <w:rPr>
          <w:rFonts w:ascii="Times New Roman" w:cs="Times New Roman" w:eastAsia="Times New Roman" w:hAnsi="Times New Roman"/>
          <w:sz w:val="24"/>
          <w:szCs w:val="24"/>
        </w:rPr>
        <w:t xml:space="preserve">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pPr>
        <w:pStyle w:val="IntroSubsection"/>
        <w:keepNext/>
        <w:spacing w:after="100" w:before="200"/>
      </w:pPr>
      <w:r>
        <w:rPr>
          <w:rFonts w:ascii="Times New Roman" w:cs="Times New Roman" w:eastAsia="Times New Roman" w:hAnsi="Times New Roman"/>
          <w:b/>
          <w:bCs/>
          <w:sz w:val="24"/>
          <w:szCs w:val="24"/>
        </w:rPr>
        <w:t xml:space="preserve">4.3 Goal 3: Offline Embedded Integration</w:t>
      </w:r>
    </w:p>
    <w:p>
      <w:pPr>
        <w:spacing w:after="120" w:line="360"/>
        <w:ind w:firstLine="720"/>
        <w:jc w:val="both"/>
      </w:pPr>
      <w:r>
        <w:rPr>
          <w:rFonts w:ascii="Times New Roman" w:cs="Times New Roman" w:eastAsia="Times New Roman" w:hAnsi="Times New Roman"/>
          <w:sz w:val="24"/>
          <w:szCs w:val="24"/>
        </w:rPr>
        <w:t xml:space="preserve">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pPr>
        <w:spacing w:after="120" w:line="360"/>
        <w:ind w:firstLine="720"/>
        <w:jc w:val="both"/>
      </w:pPr>
      <w:r>
        <w:rPr>
          <w:rFonts w:ascii="Times New Roman" w:cs="Times New Roman" w:eastAsia="Times New Roman" w:hAnsi="Times New Roman"/>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than 15 frames per second during live use, all models fitting within the available memory, and a complete conversation working with networking disabled. We will also measure the device's power draw in watts, both idle and in use, to choose between battery and wall power.</w:t>
      </w:r>
    </w:p>
    <w:p>
      <w:pPr>
        <w:pStyle w:val="IntroSubsection"/>
        <w:keepNext/>
        <w:spacing w:after="100" w:before="200"/>
      </w:pPr>
      <w:r>
        <w:rPr>
          <w:rFonts w:ascii="Times New Roman" w:cs="Times New Roman" w:eastAsia="Times New Roman" w:hAnsi="Times New Roman"/>
          <w:b/>
          <w:bCs/>
          <w:sz w:val="24"/>
          <w:szCs w:val="24"/>
        </w:rPr>
        <w:t xml:space="preserve">4.4 Team Responsibilities</w:t>
      </w:r>
    </w:p>
    <w:p>
      <w:pPr>
        <w:spacing w:after="120" w:line="360"/>
        <w:ind w:firstLine="720"/>
        <w:jc w:val="both"/>
      </w:pPr>
      <w:r>
        <w:rPr>
          <w:rFonts w:ascii="Times New Roman" w:cs="Times New Roman" w:eastAsia="Times New Roman" w:hAnsi="Times New Roman"/>
          <w:sz w:val="24"/>
          <w:szCs w:val="24"/>
        </w:rPr>
        <w:t xml:space="preserve">Each team member will lead one area and support another, so that every goal has at least two people who understand it and the project does not depend on a single person for any part. Shared tasks, including the schedule, reports, presentations and user testing, are coordinated by the project-wide lead. The assignments will be finalized by the team and are listed in Table 4.</w:t>
      </w:r>
    </w:p>
    <w:p>
      <w:pPr>
        <w:keepNext/>
        <w:spacing w:after="120" w:before="240"/>
        <w:jc w:val="center"/>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sz w:val="20"/>
          <w:szCs w:val="20"/>
        </w:rPr>
        <w:t xml:space="preserve">Measurable targets and verification methods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Goal</w:t>
            </w:r>
          </w:p>
        </w:tc>
        <w:tc>
          <w:tcPr>
            <w:tcW w:type="dxa" w:w="34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Target</w:t>
            </w:r>
          </w:p>
        </w:tc>
        <w:tc>
          <w:tcPr>
            <w:tcW w:type="dxa" w:w="3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How it will be verified</w:t>
            </w:r>
          </w:p>
        </w:tc>
      </w:tr>
      <w:tr>
        <w:trPr>
          <w:cantSplit/>
          <w:tblHeader w:val="false"/>
        </w:trPr>
        <w:tc>
          <w:tcPr>
            <w:tcW w:type="dxa" w:w="22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1. Sign recognition</w:t>
            </w:r>
          </w:p>
        </w:tc>
        <w:tc>
          <w:tcPr>
            <w:tcW w:type="dxa" w:w="34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75% top-1 and ≥ 90% top-5 accuracy on unseen signers, for 100–250 signs</w:t>
            </w:r>
          </w:p>
        </w:tc>
        <w:tc>
          <w:tcPr>
            <w:tcW w:type="dxa" w:w="3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ASL Citizen signer-independent test split and recordings from our own test users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1. Sign recognition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Accuracy on accepted signs reported together with the share of signs accepted</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Risk–coverage curves over a range of confidence thresholds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&lt; 1.2 s from the user's confirmation to the start of speech</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Timestamps logged on the device for every test sentence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Turkish and Spanish output judged acceptable for service-counter phrases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 fixed test set of phrases rated by native speakers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Hearing person's reply shown as readable English text</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Word error rate of the transcription on recorded test replies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15 frames per second for landmark extraction and recognition</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Profiling on the Jetson Orin Nano during live use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All models fit within 8 GB of memory; full conversation works offline</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Memory monitoring and end-to-end tests with networking disabled</w:t>
            </w:r>
          </w:p>
        </w:tc>
      </w:tr>
      <w:tr>
        <w:trPr>
          <w:cantSplit/>
          <w:tblHeader w:val="false"/>
        </w:trPr>
        <w:tc>
          <w:tcPr>
            <w:tcW w:type="dxa" w:w="22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3. Embedded integration</w:t>
            </w:r>
          </w:p>
        </w:tc>
        <w:tc>
          <w:tcPr>
            <w:tcW w:type="dxa" w:w="34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Power draw measured to select the power supply</w:t>
            </w:r>
          </w:p>
        </w:tc>
        <w:tc>
          <w:tcPr>
            <w:tcW w:type="dxa" w:w="3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Power measurement in watts during idle and active use</w:t>
            </w:r>
          </w:p>
        </w:tc>
      </w:tr>
    </w:tbl>
    <w:p>
      <w:pPr>
        <w:spacing w:after="240"/>
      </w:pPr>
    </w:p>
    <w:p>
      <w:pPr>
        <w:keepNext/>
        <w:spacing w:after="120" w:before="240"/>
        <w:jc w:val="center"/>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sz w:val="20"/>
          <w:szCs w:val="20"/>
        </w:rPr>
        <w:t xml:space="preserve">Team responsibilities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300"/>
        <w:gridCol w:w="4760"/>
      </w:tblGrid>
      <w:tr>
        <w:trPr>
          <w:cantSplit/>
          <w:tblHeader/>
        </w:trPr>
        <w:tc>
          <w:tcPr>
            <w:tcW w:type="dxa" w:w="20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Area</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Lead</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Support</w:t>
            </w:r>
          </w:p>
        </w:tc>
        <w:tc>
          <w:tcPr>
            <w:tcW w:type="dxa" w:w="4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Main tasks</w:t>
            </w:r>
          </w:p>
        </w:tc>
      </w:tr>
      <w:tr>
        <w:trPr>
          <w:cantSplit/>
          <w:tblHeader w:val="false"/>
        </w:trPr>
        <w:tc>
          <w:tcPr>
            <w:tcW w:type="dxa" w:w="20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Goal 1: Sign recognition</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4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Vocabulary selection with Deaf ASL users, landmark extraction, rest-pose segmentation, model training, confidence calibration, accuracy evaluation</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Goal 2: Language and speech</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Sentence builder, touchscreen interface, translation, text-to-speech, speech recognition, latency measurement</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Goal 3: Embedded integration</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Hardware purchase and setup, enclosure, deployment and optimization on the Jetson Orin Nano, frame-rate and power measurement</w:t>
            </w:r>
          </w:p>
        </w:tc>
      </w:tr>
      <w:tr>
        <w:trPr>
          <w:cantSplit/>
          <w:tblHeader w:val="false"/>
        </w:trPr>
        <w:tc>
          <w:tcPr>
            <w:tcW w:type="dxa" w:w="20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Project-wide</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To be assigned</w:t>
            </w:r>
          </w:p>
        </w:tc>
        <w:tc>
          <w:tcPr>
            <w:tcW w:type="dxa" w:w="4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Schedule and milestones, reports and presentations, user testing with Deaf ASL users, documentation</w:t>
            </w:r>
          </w:p>
        </w:tc>
      </w:tr>
    </w:tbl>
    <w:p>
      <w:pPr>
        <w:spacing w:after="240"/>
      </w:pPr>
    </w:p>
    <w:p>
      <w:r>
        <w:br w:type="page"/>
      </w:r>
    </w:p>
    <w:p>
      <w:pPr>
        <w:pStyle w:val="IntroSection"/>
        <w:keepNext/>
        <w:spacing w:after="120" w:before="0"/>
      </w:pPr>
      <w:r>
        <w:rPr>
          <w:rFonts w:ascii="Times New Roman" w:cs="Times New Roman" w:eastAsia="Times New Roman" w:hAnsi="Times New Roman"/>
          <w:b/>
          <w:bCs/>
          <w:sz w:val="24"/>
          <w:szCs w:val="24"/>
        </w:rPr>
        <w:t xml:space="preserve">5. Projected Community Impact and Relevant Ethical Issues</w:t>
      </w:r>
    </w:p>
    <w:p>
      <w:pPr>
        <w:pStyle w:val="IntroSubsection"/>
        <w:keepNext/>
        <w:spacing w:after="100" w:before="200"/>
      </w:pPr>
      <w:r>
        <w:rPr>
          <w:rFonts w:ascii="Times New Roman" w:cs="Times New Roman" w:eastAsia="Times New Roman" w:hAnsi="Times New Roman"/>
          <w:b/>
          <w:bCs/>
          <w:sz w:val="24"/>
          <w:szCs w:val="24"/>
        </w:rPr>
        <w:t xml:space="preserve">5.1 Community Impact</w:t>
      </w:r>
    </w:p>
    <w:p>
      <w:pPr>
        <w:spacing w:after="120" w:line="360"/>
        <w:ind w:firstLine="720"/>
        <w:jc w:val="both"/>
      </w:pPr>
      <w:r>
        <w:rPr>
          <w:rFonts w:ascii="Times New Roman" w:cs="Times New Roman" w:eastAsia="Times New Roman" w:hAnsi="Times New Roman"/>
          <w:sz w:val="24"/>
          <w:szCs w:val="24"/>
        </w:rPr>
        <w:t xml:space="preserve">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pPr>
        <w:spacing w:after="120" w:line="360"/>
        <w:ind w:firstLine="720"/>
        <w:jc w:val="both"/>
      </w:pPr>
      <w:r>
        <w:rPr>
          <w:rFonts w:ascii="Times New Roman" w:cs="Times New Roman" w:eastAsia="Times New Roman" w:hAnsi="Times New Roman"/>
          <w:sz w:val="24"/>
          <w:szCs w:val="24"/>
        </w:rPr>
        <w:t xml:space="preserve">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pPr>
        <w:spacing w:after="120" w:line="360"/>
        <w:ind w:firstLine="720"/>
        <w:jc w:val="both"/>
      </w:pPr>
      <w:r>
        <w:rPr>
          <w:rFonts w:ascii="Times New Roman" w:cs="Times New Roman" w:eastAsia="Times New Roman" w:hAnsi="Times New Roman"/>
          <w:sz w:val="24"/>
          <w:szCs w:val="24"/>
        </w:rPr>
        <w:t xml:space="preserve">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pPr>
        <w:spacing w:after="120" w:line="360"/>
        <w:ind w:firstLine="720"/>
        <w:jc w:val="both"/>
      </w:pPr>
      <w:r>
        <w:rPr>
          <w:rFonts w:ascii="Times New Roman" w:cs="Times New Roman" w:eastAsia="Times New Roman" w:hAnsi="Times New Roman"/>
          <w:sz w:val="24"/>
          <w:szCs w:val="24"/>
        </w:rPr>
        <w:t xml:space="preserve">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pPr>
        <w:pStyle w:val="IntroSubsection"/>
        <w:keepNext/>
        <w:spacing w:after="100" w:before="200"/>
      </w:pPr>
      <w:r>
        <w:rPr>
          <w:rFonts w:ascii="Times New Roman" w:cs="Times New Roman" w:eastAsia="Times New Roman" w:hAnsi="Times New Roman"/>
          <w:b/>
          <w:bCs/>
          <w:sz w:val="24"/>
          <w:szCs w:val="24"/>
        </w:rPr>
        <w:t xml:space="preserve">5.2 Ethical Issues</w:t>
      </w:r>
    </w:p>
    <w:p>
      <w:pPr>
        <w:spacing w:after="120" w:line="360"/>
        <w:ind w:firstLine="720"/>
        <w:jc w:val="both"/>
      </w:pPr>
      <w:r>
        <w:rPr>
          <w:rFonts w:ascii="Times New Roman" w:cs="Times New Roman" w:eastAsia="Times New Roman" w:hAnsi="Times New Roman"/>
          <w:sz w:val="24"/>
          <w:szCs w:val="24"/>
        </w:rPr>
        <w:t xml:space="preserve">We follow the IEEE Code of Ethics, which asks engineers to hold paramount the safety, health and welfare of the public, to protect the privacy of others, to avoid harm, to treat all persons fairly, and to be honest and realistic in stating claims [23]. Table 5 summarizes the main ethical issues for this project and our response to each. The most important of these are discussed below.</w:t>
      </w:r>
    </w:p>
    <w:p>
      <w:pPr>
        <w:keepNext/>
        <w:spacing w:after="120" w:before="240"/>
        <w:jc w:val="center"/>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sz w:val="20"/>
          <w:szCs w:val="20"/>
        </w:rPr>
        <w:t xml:space="preserve">Ethical issues and how the project addresses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Issue</w:t>
            </w:r>
          </w:p>
        </w:tc>
        <w:tc>
          <w:tcPr>
            <w:tcW w:type="dxa" w:w="35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Risk</w:t>
            </w:r>
          </w:p>
        </w:tc>
        <w:tc>
          <w:tcPr>
            <w:tcW w:type="dxa" w:w="39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Our response</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Replacing interpreters</w:t>
            </w:r>
          </w:p>
        </w:tc>
        <w:tc>
          <w:tcPr>
            <w:tcW w:type="dxa" w:w="35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Organizations could use the device to avoid providing a required interpreter, weakening Deaf users' legal rights</w:t>
            </w:r>
          </w:p>
        </w:tc>
        <w:tc>
          <w:tcPr>
            <w:tcW w:type="dxa" w:w="39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Present and label the device as an aid for when no interpreter is available, in all documentation and on its start screen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Wrong translations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 mistranslation in a medical, legal or financial exchange can cause harm</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Nothing is spoken without user confirmation; the device abstains when unsure; high-stakes settings are out of scope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Unequal performance</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Accuracy may be lower for some signers because of signing style, handedness, skin tone or lighting</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Test with diverse signers and report accuracy for each signer, along with known limits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Privacy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The camera captures users' faces and bodies, and the microphone records the reply</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All processing stays on the device; no video or audio is stored or transmitted</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Data consent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Training data come from real people</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Use consent-based datasets such as ASL Citizen; obtain written consent for any recordings we make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Deaf involvement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Hearing-led projects that profit from ASL are the community's top concern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Involve Deaf ASL users in vocabulary selection and testing, and credit their contributions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Scope and honesty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Users may expect full ASL translation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State plainly that the device recognizes individual signs and does not capture facial grammar</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Accessibility</w:t>
            </w:r>
          </w:p>
        </w:tc>
        <w:tc>
          <w:tcPr>
            <w:tcW w:type="dxa" w:w="35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Replies shown as English text may be hard for users less fluent in written English</w:t>
            </w:r>
          </w:p>
        </w:tc>
        <w:tc>
          <w:tcPr>
            <w:tcW w:type="dxa" w:w="39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Use short sentences and an adjustable font size; record this as a known limitation</w:t>
            </w:r>
          </w:p>
        </w:tc>
      </w:tr>
    </w:tbl>
    <w:p>
      <w:pPr>
        <w:spacing w:after="240"/>
      </w:pPr>
    </w:p>
    <w:p>
      <w:pPr>
        <w:spacing w:after="120" w:line="360"/>
        <w:ind w:firstLine="720"/>
        <w:jc w:val="both"/>
      </w:pPr>
      <w:r>
        <w:rPr>
          <w:rFonts w:ascii="Times New Roman" w:cs="Times New Roman" w:eastAsia="Times New Roman" w:hAnsi="Times New Roman"/>
          <w:sz w:val="24"/>
          <w:szCs w:val="24"/>
        </w:rPr>
        <w:t xml:space="preserve">The first issue is the risk of replacing interpreters. In the U.S. survey, 88% of Deaf participants were concerned that automatic translation could weaken the legal right to an interpreter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pPr>
        <w:spacing w:after="120" w:line="360"/>
        <w:ind w:firstLine="720"/>
        <w:jc w:val="both"/>
      </w:pPr>
      <w:r>
        <w:rPr>
          <w:rFonts w:ascii="Times New Roman" w:cs="Times New Roman" w:eastAsia="Times New Roman" w:hAnsi="Times New Roman"/>
          <w:sz w:val="24"/>
          <w:szCs w:val="24"/>
        </w:rPr>
        <w:t xml:space="preserve">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pPr>
        <w:spacing w:after="120" w:line="360"/>
        <w:ind w:firstLine="720"/>
        <w:jc w:val="both"/>
      </w:pPr>
      <w:r>
        <w:rPr>
          <w:rFonts w:ascii="Times New Roman" w:cs="Times New Roman" w:eastAsia="Times New Roman" w:hAnsi="Times New Roman"/>
          <w:sz w:val="24"/>
          <w:szCs w:val="24"/>
        </w:rPr>
        <w:t xml:space="preserve">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pPr>
        <w:spacing w:after="120" w:line="360"/>
        <w:ind w:firstLine="720"/>
        <w:jc w:val="both"/>
      </w:pPr>
      <w:r>
        <w:rPr>
          <w:rFonts w:ascii="Times New Roman" w:cs="Times New Roman" w:eastAsia="Times New Roman" w:hAnsi="Times New Roman"/>
          <w:sz w:val="24"/>
          <w:szCs w:val="24"/>
        </w:rPr>
        <w:t xml:space="preserve">Finally, Deaf involvement is the issue that Deaf communities themselves rank highest. Our team is hearing, and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r>
        <w:br w:type="page"/>
      </w:r>
    </w:p>
    <w:p>
      <w:pPr>
        <w:pStyle w:val="IntroSection"/>
        <w:keepNext/>
        <w:spacing w:after="120" w:before="0"/>
      </w:pPr>
      <w:r>
        <w:rPr>
          <w:rFonts w:ascii="Times New Roman" w:cs="Times New Roman" w:eastAsia="Times New Roman" w:hAnsi="Times New Roman"/>
          <w:b/>
          <w:bCs/>
          <w:sz w:val="24"/>
          <w:szCs w:val="24"/>
        </w:rPr>
        <w:t xml:space="preserve">12. References</w:t>
      </w:r>
    </w:p>
    <w:p>
      <w:pPr>
        <w:spacing w:after="120"/>
        <w:ind w:left="432" w:hanging="432"/>
      </w:pPr>
      <w:r>
        <w:rPr>
          <w:rFonts w:ascii="Times New Roman" w:cs="Times New Roman" w:eastAsia="Times New Roman" w:hAnsi="Times New Roman"/>
          <w:sz w:val="24"/>
          <w:szCs w:val="24"/>
        </w:rPr>
        <w:t xml:space="preserve">1.	Tran, N., Ladner, R. E., and Bragg, D. U.S. Deaf community perspectives on automatic sign language translation. </w:t>
      </w:r>
      <w:r>
        <w:rPr>
          <w:rFonts w:ascii="Times New Roman" w:cs="Times New Roman" w:eastAsia="Times New Roman" w:hAnsi="Times New Roman"/>
          <w:i/>
          <w:iCs/>
          <w:sz w:val="24"/>
          <w:szCs w:val="24"/>
        </w:rPr>
        <w:t xml:space="preserve">Proceedings of the 25th International ACM SIGACCESS Conference on Computers and Accessibility (ASSETS ’23)</w:t>
      </w:r>
      <w:r>
        <w:rPr>
          <w:rFonts w:ascii="Times New Roman" w:cs="Times New Roman" w:eastAsia="Times New Roman" w:hAnsi="Times New Roman"/>
          <w:sz w:val="24"/>
          <w:szCs w:val="24"/>
        </w:rPr>
        <w:t xml:space="preserve">, New York, NY, USA, 2023. doi:10.1145/3597638.3614507.</w:t>
      </w:r>
    </w:p>
    <w:p>
      <w:pPr>
        <w:spacing w:after="120"/>
        <w:ind w:left="432" w:hanging="432"/>
      </w:pPr>
      <w:r>
        <w:rPr>
          <w:rFonts w:ascii="Times New Roman" w:cs="Times New Roman" w:eastAsia="Times New Roman" w:hAnsi="Times New Roman"/>
          <w:sz w:val="24"/>
          <w:szCs w:val="24"/>
        </w:rPr>
        <w:t xml:space="preserve">2.	Desai, A., Berger, L., Minakov, F. O., Milan, V., Singh, C., Pumphrey, K., Ladner, R. E., Daumé III, H., Lu, A. X., Caselli, N., and Bragg, D. ASL Citizen: A community-sourced dataset for advancing isolated sign language recognition.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36 (Datasets and Benchmarks Track), 2023. arXiv:2304.05934.</w:t>
      </w:r>
    </w:p>
    <w:p>
      <w:pPr>
        <w:spacing w:after="120"/>
        <w:ind w:left="432" w:hanging="432"/>
      </w:pPr>
      <w:r>
        <w:rPr>
          <w:rFonts w:ascii="Times New Roman" w:cs="Times New Roman" w:eastAsia="Times New Roman" w:hAnsi="Times New Roman"/>
          <w:sz w:val="24"/>
          <w:szCs w:val="24"/>
        </w:rPr>
        <w:t xml:space="preserve">3.	Zhang, X., and Duh, K. Approaching sign language gloss translation as a low-resource machine translation task. </w:t>
      </w:r>
      <w:r>
        <w:rPr>
          <w:rFonts w:ascii="Times New Roman" w:cs="Times New Roman" w:eastAsia="Times New Roman" w:hAnsi="Times New Roman"/>
          <w:i/>
          <w:iCs/>
          <w:sz w:val="24"/>
          <w:szCs w:val="24"/>
        </w:rPr>
        <w:t xml:space="preserve">Proceedings of the 1st International Workshop on Automatic Translation for Signed and Spoken Languages (AT4SSL)</w:t>
      </w:r>
      <w:r>
        <w:rPr>
          <w:rFonts w:ascii="Times New Roman" w:cs="Times New Roman" w:eastAsia="Times New Roman" w:hAnsi="Times New Roman"/>
          <w:sz w:val="24"/>
          <w:szCs w:val="24"/>
        </w:rPr>
        <w:t xml:space="preserve">, 60–70, 2021.</w:t>
      </w:r>
    </w:p>
    <w:p>
      <w:pPr>
        <w:spacing w:after="120"/>
        <w:ind w:left="432" w:hanging="432"/>
      </w:pPr>
      <w:r>
        <w:rPr>
          <w:rFonts w:ascii="Times New Roman" w:cs="Times New Roman" w:eastAsia="Times New Roman" w:hAnsi="Times New Roman"/>
          <w:sz w:val="24"/>
          <w:szCs w:val="24"/>
        </w:rPr>
        <w:t xml:space="preserve">4.	Hu, J., He, Z., Huang, H., Li, Z., Li, Z., and Fang, Y. SignDino: Self-supervised sign language representation learning via temporal-axis self-distillation.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arXiv:2609.06296, 2026.</w:t>
      </w:r>
    </w:p>
    <w:p>
      <w:pPr>
        <w:spacing w:after="120"/>
        <w:ind w:left="432" w:hanging="432"/>
      </w:pPr>
      <w:r>
        <w:rPr>
          <w:rFonts w:ascii="Times New Roman" w:cs="Times New Roman" w:eastAsia="Times New Roman" w:hAnsi="Times New Roman"/>
          <w:sz w:val="24"/>
          <w:szCs w:val="24"/>
        </w:rPr>
        <w:t xml:space="preserve">5.	Gan, S., Liu, X., Yin, Y., Liu, N., Liu, K., Tuerdaken, D., Jiang, Z., Xie, L., Lu, S., and Wen, H. Learning effective sign features without text for gloss-free sign language translation. </w:t>
      </w:r>
      <w:r>
        <w:rPr>
          <w:rFonts w:ascii="Times New Roman" w:cs="Times New Roman" w:eastAsia="Times New Roman" w:hAnsi="Times New Roman"/>
          <w:i/>
          <w:iCs/>
          <w:sz w:val="24"/>
          <w:szCs w:val="24"/>
        </w:rPr>
        <w:t xml:space="preserve">Proceedings of the IEEE/CVF Conference on Computer Vision and Pattern Recognition (CVPR)</w:t>
      </w:r>
      <w:r>
        <w:rPr>
          <w:rFonts w:ascii="Times New Roman" w:cs="Times New Roman" w:eastAsia="Times New Roman" w:hAnsi="Times New Roman"/>
          <w:sz w:val="24"/>
          <w:szCs w:val="24"/>
        </w:rPr>
        <w:t xml:space="preserve">, 9827–9836, 2026.</w:t>
      </w:r>
    </w:p>
    <w:p>
      <w:pPr>
        <w:spacing w:after="120"/>
        <w:ind w:left="432" w:hanging="432"/>
      </w:pPr>
      <w:r>
        <w:rPr>
          <w:rFonts w:ascii="Times New Roman" w:cs="Times New Roman" w:eastAsia="Times New Roman" w:hAnsi="Times New Roman"/>
          <w:sz w:val="24"/>
          <w:szCs w:val="24"/>
        </w:rPr>
        <w:t xml:space="preserve">6.	Lugaresi, C., Tang, J., Nash, H., McClanahan, C., Uboweja, E., Hays, M., Zhang, F., Chang, C.-L., Yong, M. G., Lee, J., Chang, W.-T., Hua, W., Georg, M., and Grundmann, M. MediaPipe: A framework for building perception pipelines.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arXiv:1906.08172, 2019.</w:t>
      </w:r>
    </w:p>
    <w:p>
      <w:pPr>
        <w:spacing w:after="120"/>
        <w:ind w:left="432" w:hanging="432"/>
      </w:pPr>
      <w:r>
        <w:rPr>
          <w:rFonts w:ascii="Times New Roman" w:cs="Times New Roman" w:eastAsia="Times New Roman" w:hAnsi="Times New Roman"/>
          <w:sz w:val="24"/>
          <w:szCs w:val="24"/>
        </w:rPr>
        <w:t xml:space="preserve">7.	Sohn, H. 1st place solution: 1DCNN combined with Transformer. </w:t>
      </w:r>
      <w:r>
        <w:rPr>
          <w:rFonts w:ascii="Times New Roman" w:cs="Times New Roman" w:eastAsia="Times New Roman" w:hAnsi="Times New Roman"/>
          <w:i/>
          <w:iCs/>
          <w:sz w:val="24"/>
          <w:szCs w:val="24"/>
        </w:rPr>
        <w:t xml:space="preserve">Google – Isolated Sign Language Recognition Competition, Kaggle</w:t>
      </w:r>
      <w:r>
        <w:rPr>
          <w:rFonts w:ascii="Times New Roman" w:cs="Times New Roman" w:eastAsia="Times New Roman" w:hAnsi="Times New Roman"/>
          <w:sz w:val="24"/>
          <w:szCs w:val="24"/>
        </w:rPr>
        <w:t xml:space="preserve">, 2023. Available: https://www.kaggle.com/competitions/asl-signs/writeups/hoyeol-sohn-1st-place-solution-1dcnn-combined-with [Accessed: 25-Sep-2026].</w:t>
      </w:r>
    </w:p>
    <w:p>
      <w:pPr>
        <w:spacing w:after="120"/>
        <w:ind w:left="432" w:hanging="432"/>
      </w:pPr>
      <w:r>
        <w:rPr>
          <w:rFonts w:ascii="Times New Roman" w:cs="Times New Roman" w:eastAsia="Times New Roman" w:hAnsi="Times New Roman"/>
          <w:sz w:val="24"/>
          <w:szCs w:val="24"/>
        </w:rPr>
        <w:t xml:space="preserve">8.	Licciardello, R., Fargetta, G., Ortis, A., and Battiato, S. CSLRTransformer: A pose-only system for continuous sign language recognition. </w:t>
      </w:r>
      <w:r>
        <w:rPr>
          <w:rFonts w:ascii="Times New Roman" w:cs="Times New Roman" w:eastAsia="Times New Roman" w:hAnsi="Times New Roman"/>
          <w:i/>
          <w:iCs/>
          <w:sz w:val="24"/>
          <w:szCs w:val="24"/>
        </w:rPr>
        <w:t xml:space="preserve">Proceedings of the IEEE/CVF Conference on Computer Vision and Pattern Recognition (CVPR) Workshops</w:t>
      </w:r>
      <w:r>
        <w:rPr>
          <w:rFonts w:ascii="Times New Roman" w:cs="Times New Roman" w:eastAsia="Times New Roman" w:hAnsi="Times New Roman"/>
          <w:sz w:val="24"/>
          <w:szCs w:val="24"/>
        </w:rPr>
        <w:t xml:space="preserve">, 2026.</w:t>
      </w:r>
    </w:p>
    <w:p>
      <w:pPr>
        <w:spacing w:after="120"/>
        <w:ind w:left="432" w:hanging="432"/>
      </w:pPr>
      <w:r>
        <w:rPr>
          <w:rFonts w:ascii="Times New Roman" w:cs="Times New Roman" w:eastAsia="Times New Roman" w:hAnsi="Times New Roman"/>
          <w:sz w:val="24"/>
          <w:szCs w:val="24"/>
        </w:rPr>
        <w:t xml:space="preserve">9.	Moryossef, A., Jiang, Z., Müller, M., Ebling, S., and Goldberg, Y. Linguistically motivated sign language segmentation. </w:t>
      </w:r>
      <w:r>
        <w:rPr>
          <w:rFonts w:ascii="Times New Roman" w:cs="Times New Roman" w:eastAsia="Times New Roman" w:hAnsi="Times New Roman"/>
          <w:i/>
          <w:iCs/>
          <w:sz w:val="24"/>
          <w:szCs w:val="24"/>
        </w:rPr>
        <w:t xml:space="preserve">Findings of the Association for Computational Linguistics: EMNLP 2023</w:t>
      </w:r>
      <w:r>
        <w:rPr>
          <w:rFonts w:ascii="Times New Roman" w:cs="Times New Roman" w:eastAsia="Times New Roman" w:hAnsi="Times New Roman"/>
          <w:sz w:val="24"/>
          <w:szCs w:val="24"/>
        </w:rPr>
        <w:t xml:space="preserve">, 12703–12724, 2023.</w:t>
      </w:r>
    </w:p>
    <w:p>
      <w:pPr>
        <w:spacing w:after="120"/>
        <w:ind w:left="432" w:hanging="432"/>
      </w:pPr>
      <w:r>
        <w:rPr>
          <w:rFonts w:ascii="Times New Roman" w:cs="Times New Roman" w:eastAsia="Times New Roman" w:hAnsi="Times New Roman"/>
          <w:sz w:val="24"/>
          <w:szCs w:val="24"/>
        </w:rPr>
        <w:t xml:space="preserve">10.	Fayyazsanavi, P., Anastasopoulos, A., and Košecká, J. Gloss2Text: Sign language gloss translation using LLMs and semantically aware label smoothing. </w:t>
      </w:r>
      <w:r>
        <w:rPr>
          <w:rFonts w:ascii="Times New Roman" w:cs="Times New Roman" w:eastAsia="Times New Roman" w:hAnsi="Times New Roman"/>
          <w:i/>
          <w:iCs/>
          <w:sz w:val="24"/>
          <w:szCs w:val="24"/>
        </w:rPr>
        <w:t xml:space="preserve">Findings of the Association for Computational Linguistics: EMNLP 2024</w:t>
      </w:r>
      <w:r>
        <w:rPr>
          <w:rFonts w:ascii="Times New Roman" w:cs="Times New Roman" w:eastAsia="Times New Roman" w:hAnsi="Times New Roman"/>
          <w:sz w:val="24"/>
          <w:szCs w:val="24"/>
        </w:rPr>
        <w:t xml:space="preserve">, 16162–16171, 2024.</w:t>
      </w:r>
    </w:p>
    <w:p>
      <w:pPr>
        <w:spacing w:after="120"/>
        <w:ind w:left="432" w:hanging="432"/>
      </w:pPr>
      <w:r>
        <w:rPr>
          <w:rFonts w:ascii="Times New Roman" w:cs="Times New Roman" w:eastAsia="Times New Roman" w:hAnsi="Times New Roman"/>
          <w:sz w:val="24"/>
          <w:szCs w:val="24"/>
        </w:rPr>
        <w:t xml:space="preserve">11.	NLLB Team, Costa-jussà, M. R., Cross, J., et al. No Language Left Behind: Scaling human-centered machine translation.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arXiv:2207.04672, 2022.</w:t>
      </w:r>
    </w:p>
    <w:p>
      <w:pPr>
        <w:spacing w:after="120"/>
        <w:ind w:left="432" w:hanging="432"/>
      </w:pPr>
      <w:r>
        <w:rPr>
          <w:rFonts w:ascii="Times New Roman" w:cs="Times New Roman" w:eastAsia="Times New Roman" w:hAnsi="Times New Roman"/>
          <w:sz w:val="24"/>
          <w:szCs w:val="24"/>
        </w:rPr>
        <w:t xml:space="preserve">12.	Hansen, M. Piper: A fast, local neural text to speech system. </w:t>
      </w:r>
      <w:r>
        <w:rPr>
          <w:rFonts w:ascii="Times New Roman" w:cs="Times New Roman" w:eastAsia="Times New Roman" w:hAnsi="Times New Roman"/>
          <w:i/>
          <w:iCs/>
          <w:sz w:val="24"/>
          <w:szCs w:val="24"/>
        </w:rPr>
        <w:t xml:space="preserve">GitHub repository</w:t>
      </w:r>
      <w:r>
        <w:rPr>
          <w:rFonts w:ascii="Times New Roman" w:cs="Times New Roman" w:eastAsia="Times New Roman" w:hAnsi="Times New Roman"/>
          <w:sz w:val="24"/>
          <w:szCs w:val="24"/>
        </w:rPr>
        <w:t xml:space="preserve">, 2023. Available: https://github.com/rhasspy/piper [Accessed: 25-Sep-2026].</w:t>
      </w:r>
    </w:p>
    <w:p>
      <w:pPr>
        <w:spacing w:after="120"/>
        <w:ind w:left="432" w:hanging="432"/>
      </w:pPr>
      <w:r>
        <w:rPr>
          <w:rFonts w:ascii="Times New Roman" w:cs="Times New Roman" w:eastAsia="Times New Roman" w:hAnsi="Times New Roman"/>
          <w:sz w:val="24"/>
          <w:szCs w:val="24"/>
        </w:rPr>
        <w:t xml:space="preserve">13.	Radford, A., Kim, J. W., Xu, T., Brockman, G., McLeavey, C., and Sutskever, I. Robust speech recognition via large-scale weak supervision. </w:t>
      </w:r>
      <w:r>
        <w:rPr>
          <w:rFonts w:ascii="Times New Roman" w:cs="Times New Roman" w:eastAsia="Times New Roman" w:hAnsi="Times New Roman"/>
          <w:i/>
          <w:iCs/>
          <w:sz w:val="24"/>
          <w:szCs w:val="24"/>
        </w:rPr>
        <w:t xml:space="preserve">Proceedings of the 40th International Conference on Machine Learning (ICML), PMLR</w:t>
      </w:r>
      <w:r>
        <w:rPr>
          <w:rFonts w:ascii="Times New Roman" w:cs="Times New Roman" w:eastAsia="Times New Roman" w:hAnsi="Times New Roman"/>
          <w:sz w:val="24"/>
          <w:szCs w:val="24"/>
        </w:rPr>
        <w:t xml:space="preserve">, 202, 28492–28518, 2023.</w:t>
      </w:r>
    </w:p>
    <w:p>
      <w:pPr>
        <w:spacing w:after="120"/>
        <w:ind w:left="432" w:hanging="432"/>
      </w:pPr>
      <w:r>
        <w:rPr>
          <w:rFonts w:ascii="Times New Roman" w:cs="Times New Roman" w:eastAsia="Times New Roman" w:hAnsi="Times New Roman"/>
          <w:sz w:val="24"/>
          <w:szCs w:val="24"/>
        </w:rPr>
        <w:t xml:space="preserve">14.	Traub, J., Bungert, T. J., Lüth, C. T., Baumgartner, M., Maier-Hein, K. H., Maier-Hein, L., and Jaeger, P. F. Overcoming common flaws in the evaluation of selective classification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37, 2024.</w:t>
      </w:r>
    </w:p>
    <w:p>
      <w:pPr>
        <w:spacing w:after="120"/>
        <w:ind w:left="432" w:hanging="432"/>
      </w:pPr>
      <w:r>
        <w:rPr>
          <w:rFonts w:ascii="Times New Roman" w:cs="Times New Roman" w:eastAsia="Times New Roman" w:hAnsi="Times New Roman"/>
          <w:sz w:val="24"/>
          <w:szCs w:val="24"/>
        </w:rPr>
        <w:t xml:space="preserve">15.	Bragg, D., Koller, O., Bellard, M., Berke, L., Boudreault, P., Braffort, A., Caselli, N., Huenerfauth, M., Kacorri, H., Verhoef, T., Vogler, C., and Morris, M. R. Sign language recognition, generation, and translation: An interdisciplinary perspective. </w:t>
      </w:r>
      <w:r>
        <w:rPr>
          <w:rFonts w:ascii="Times New Roman" w:cs="Times New Roman" w:eastAsia="Times New Roman" w:hAnsi="Times New Roman"/>
          <w:i/>
          <w:iCs/>
          <w:sz w:val="24"/>
          <w:szCs w:val="24"/>
        </w:rPr>
        <w:t xml:space="preserve">Proceedings of the 21st International ACM SIGACCESS Conference on Computers and Accessibility (ASSETS ’19)</w:t>
      </w:r>
      <w:r>
        <w:rPr>
          <w:rFonts w:ascii="Times New Roman" w:cs="Times New Roman" w:eastAsia="Times New Roman" w:hAnsi="Times New Roman"/>
          <w:sz w:val="24"/>
          <w:szCs w:val="24"/>
        </w:rPr>
        <w:t xml:space="preserve">, 16–31, 2019.</w:t>
      </w:r>
    </w:p>
    <w:p>
      <w:pPr>
        <w:spacing w:after="120"/>
        <w:ind w:left="432" w:hanging="432"/>
      </w:pPr>
      <w:r>
        <w:rPr>
          <w:rFonts w:ascii="Times New Roman" w:cs="Times New Roman" w:eastAsia="Times New Roman" w:hAnsi="Times New Roman"/>
          <w:sz w:val="24"/>
          <w:szCs w:val="24"/>
        </w:rPr>
        <w:t xml:space="preserve">16.	Atwell, K., Imai, S., Bragg, D., and Alikhani, M. “Nothing about us without us”: Perspectives of global Deaf and hard-of-hearing community members on sign language technologies.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arXiv:2512.08839, 2025.</w:t>
      </w:r>
    </w:p>
    <w:p>
      <w:pPr>
        <w:spacing w:after="120"/>
        <w:ind w:left="432" w:hanging="432"/>
      </w:pPr>
      <w:r>
        <w:rPr>
          <w:rFonts w:ascii="Times New Roman" w:cs="Times New Roman" w:eastAsia="Times New Roman" w:hAnsi="Times New Roman"/>
          <w:sz w:val="24"/>
          <w:szCs w:val="24"/>
        </w:rPr>
        <w:t xml:space="preserve">17.	SignAll Technologies. SignAll translates sign language to English automatically. </w:t>
      </w:r>
      <w:r>
        <w:rPr>
          <w:rFonts w:ascii="Times New Roman" w:cs="Times New Roman" w:eastAsia="Times New Roman" w:hAnsi="Times New Roman"/>
          <w:i/>
          <w:iCs/>
          <w:sz w:val="24"/>
          <w:szCs w:val="24"/>
        </w:rPr>
        <w:t xml:space="preserve">PRWeb press release</w:t>
      </w:r>
      <w:r>
        <w:rPr>
          <w:rFonts w:ascii="Times New Roman" w:cs="Times New Roman" w:eastAsia="Times New Roman" w:hAnsi="Times New Roman"/>
          <w:sz w:val="24"/>
          <w:szCs w:val="24"/>
        </w:rPr>
        <w:t xml:space="preserve">, 2018. Available: https://www.prweb.com/releases/signall-translates-sign-language-to-english-automatically-868736288.html [Accessed: 25-Sep-2026].</w:t>
      </w:r>
    </w:p>
    <w:p>
      <w:pPr>
        <w:spacing w:after="120"/>
        <w:ind w:left="432" w:hanging="432"/>
      </w:pPr>
      <w:r>
        <w:rPr>
          <w:rFonts w:ascii="Times New Roman" w:cs="Times New Roman" w:eastAsia="Times New Roman" w:hAnsi="Times New Roman"/>
          <w:sz w:val="24"/>
          <w:szCs w:val="24"/>
        </w:rPr>
        <w:t xml:space="preserve">18.	Menefee, M., Nash, D., and Chandler, T. Automated sign language translation and communication using multiple input and output modalities. </w:t>
      </w:r>
      <w:r>
        <w:rPr>
          <w:rFonts w:ascii="Times New Roman" w:cs="Times New Roman" w:eastAsia="Times New Roman" w:hAnsi="Times New Roman"/>
          <w:i/>
          <w:iCs/>
          <w:sz w:val="24"/>
          <w:szCs w:val="24"/>
        </w:rPr>
        <w:t xml:space="preserve">U.S. Patent</w:t>
      </w:r>
      <w:r>
        <w:rPr>
          <w:rFonts w:ascii="Times New Roman" w:cs="Times New Roman" w:eastAsia="Times New Roman" w:hAnsi="Times New Roman"/>
          <w:sz w:val="24"/>
          <w:szCs w:val="24"/>
        </w:rPr>
        <w:t xml:space="preserve"> No. 10,489,639 B2, 2019.</w:t>
      </w:r>
    </w:p>
    <w:p>
      <w:pPr>
        <w:spacing w:after="120"/>
        <w:ind w:left="432" w:hanging="432"/>
      </w:pPr>
      <w:r>
        <w:rPr>
          <w:rFonts w:ascii="Times New Roman" w:cs="Times New Roman" w:eastAsia="Times New Roman" w:hAnsi="Times New Roman"/>
          <w:sz w:val="24"/>
          <w:szCs w:val="24"/>
        </w:rPr>
        <w:t xml:space="preserve">19.	Kelly, N. A. Realtime AI sign language recognition. </w:t>
      </w:r>
      <w:r>
        <w:rPr>
          <w:rFonts w:ascii="Times New Roman" w:cs="Times New Roman" w:eastAsia="Times New Roman" w:hAnsi="Times New Roman"/>
          <w:i/>
          <w:iCs/>
          <w:sz w:val="24"/>
          <w:szCs w:val="24"/>
        </w:rPr>
        <w:t xml:space="preserve">U.S. Patent Application Publication</w:t>
      </w:r>
      <w:r>
        <w:rPr>
          <w:rFonts w:ascii="Times New Roman" w:cs="Times New Roman" w:eastAsia="Times New Roman" w:hAnsi="Times New Roman"/>
          <w:sz w:val="24"/>
          <w:szCs w:val="24"/>
        </w:rPr>
        <w:t xml:space="preserve"> No. 2022/0327961 A1, 2022.</w:t>
      </w:r>
    </w:p>
    <w:p>
      <w:pPr>
        <w:spacing w:after="120"/>
        <w:ind w:left="432" w:hanging="432"/>
      </w:pPr>
      <w:r>
        <w:rPr>
          <w:rFonts w:ascii="Times New Roman" w:cs="Times New Roman" w:eastAsia="Times New Roman" w:hAnsi="Times New Roman"/>
          <w:sz w:val="24"/>
          <w:szCs w:val="24"/>
        </w:rPr>
        <w:t xml:space="preserve">20.	Zhou, Z., Menne, T., Li, K., Xu, K., Feng, Z., and Lee, C.-H. System and method for automated sign language recognition. </w:t>
      </w:r>
      <w:r>
        <w:rPr>
          <w:rFonts w:ascii="Times New Roman" w:cs="Times New Roman" w:eastAsia="Times New Roman" w:hAnsi="Times New Roman"/>
          <w:i/>
          <w:iCs/>
          <w:sz w:val="24"/>
          <w:szCs w:val="24"/>
        </w:rPr>
        <w:t xml:space="preserve">U.S. Patent Application Publication</w:t>
      </w:r>
      <w:r>
        <w:rPr>
          <w:rFonts w:ascii="Times New Roman" w:cs="Times New Roman" w:eastAsia="Times New Roman" w:hAnsi="Times New Roman"/>
          <w:sz w:val="24"/>
          <w:szCs w:val="24"/>
        </w:rPr>
        <w:t xml:space="preserve"> No. 2016/0307469 A1, 2016.</w:t>
      </w:r>
    </w:p>
    <w:p>
      <w:pPr>
        <w:spacing w:after="120"/>
        <w:ind w:left="432" w:hanging="432"/>
      </w:pPr>
      <w:r>
        <w:rPr>
          <w:rFonts w:ascii="Times New Roman" w:cs="Times New Roman" w:eastAsia="Times New Roman" w:hAnsi="Times New Roman"/>
          <w:sz w:val="24"/>
          <w:szCs w:val="24"/>
        </w:rPr>
        <w:t xml:space="preserve">21.	Sakou, H., Sagawa, H., Abe, M., Ichikawa, A., Inoue, K., Arai, K., Shimura, T., and Toda, Y. Sign recognition apparatus and method and sign translation system using same. </w:t>
      </w:r>
      <w:r>
        <w:rPr>
          <w:rFonts w:ascii="Times New Roman" w:cs="Times New Roman" w:eastAsia="Times New Roman" w:hAnsi="Times New Roman"/>
          <w:i/>
          <w:iCs/>
          <w:sz w:val="24"/>
          <w:szCs w:val="24"/>
        </w:rPr>
        <w:t xml:space="preserve">U.S. Patent</w:t>
      </w:r>
      <w:r>
        <w:rPr>
          <w:rFonts w:ascii="Times New Roman" w:cs="Times New Roman" w:eastAsia="Times New Roman" w:hAnsi="Times New Roman"/>
          <w:sz w:val="24"/>
          <w:szCs w:val="24"/>
        </w:rPr>
        <w:t xml:space="preserve"> No. 5,887,069, 1999.</w:t>
      </w:r>
    </w:p>
    <w:p>
      <w:pPr>
        <w:spacing w:after="120"/>
        <w:ind w:left="432" w:hanging="432"/>
      </w:pPr>
      <w:r>
        <w:rPr>
          <w:rFonts w:ascii="Times New Roman" w:cs="Times New Roman" w:eastAsia="Times New Roman" w:hAnsi="Times New Roman"/>
          <w:sz w:val="24"/>
          <w:szCs w:val="24"/>
        </w:rPr>
        <w:t xml:space="preserve">22.	U.S. Department of Justice, Civil Rights Division. ADA requirements: Effective communication. </w:t>
      </w:r>
      <w:r>
        <w:rPr>
          <w:rFonts w:ascii="Times New Roman" w:cs="Times New Roman" w:eastAsia="Times New Roman" w:hAnsi="Times New Roman"/>
          <w:i/>
          <w:iCs/>
          <w:sz w:val="24"/>
          <w:szCs w:val="24"/>
        </w:rPr>
        <w:t xml:space="preserve">ADA.gov</w:t>
      </w:r>
      <w:r>
        <w:rPr>
          <w:rFonts w:ascii="Times New Roman" w:cs="Times New Roman" w:eastAsia="Times New Roman" w:hAnsi="Times New Roman"/>
          <w:sz w:val="24"/>
          <w:szCs w:val="24"/>
        </w:rPr>
        <w:t xml:space="preserve">, 2020. Available: https://www.ada.gov/resources/effective-communication/ [Accessed: 01-Oct-2026].</w:t>
      </w:r>
    </w:p>
    <w:p>
      <w:pPr>
        <w:spacing w:after="120"/>
        <w:ind w:left="432" w:hanging="432"/>
      </w:pPr>
      <w:r>
        <w:rPr>
          <w:rFonts w:ascii="Times New Roman" w:cs="Times New Roman" w:eastAsia="Times New Roman" w:hAnsi="Times New Roman"/>
          <w:sz w:val="24"/>
          <w:szCs w:val="24"/>
        </w:rPr>
        <w:t xml:space="preserve">23.	IEEE. IEEE Code of Ethics. </w:t>
      </w:r>
      <w:r>
        <w:rPr>
          <w:rFonts w:ascii="Times New Roman" w:cs="Times New Roman" w:eastAsia="Times New Roman" w:hAnsi="Times New Roman"/>
          <w:i/>
          <w:iCs/>
          <w:sz w:val="24"/>
          <w:szCs w:val="24"/>
        </w:rPr>
        <w:t xml:space="preserve">IEEE Policies, Section 7.8</w:t>
      </w:r>
      <w:r>
        <w:rPr>
          <w:rFonts w:ascii="Times New Roman" w:cs="Times New Roman" w:eastAsia="Times New Roman" w:hAnsi="Times New Roman"/>
          <w:sz w:val="24"/>
          <w:szCs w:val="24"/>
        </w:rPr>
        <w:t xml:space="preserve">, 2020. Available: https://www.ieee.org/about/corporate/governance/p7-8.html [Accessed: 01-Oct-2026].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IntroSection">
    <w:name w:val="Intro Section"/>
    <w:basedOn w:val="Normal"/>
    <w:next w:val="Normal"/>
    <w:qFormat/>
    <w:pPr>
      <w:outlineLvl w:val="0"/>
    </w:pPr>
    <w:rPr>
      <w:rFonts w:ascii="Times New Roman" w:cs="Times New Roman" w:eastAsia="Times New Roman" w:hAnsi="Times New Roman"/>
      <w:b/>
      <w:bCs/>
      <w:sz w:val="24"/>
      <w:szCs w:val="24"/>
    </w:rPr>
  </w:style>
  <w:style w:type="paragraph" w:styleId="IntroSubsection">
    <w:name w:val="Intro Subsection"/>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f3c97774a9602dd969cbd6955aaf03f8cb7cd1.png"/><Relationship Id="rId8" Type="http://schemas.openxmlformats.org/officeDocument/2006/relationships/image" Target="media/01882ecebf880255b926e06dd36b1028212d8969.png"/><Relationship Id="rId9" Type="http://schemas.openxmlformats.org/officeDocument/2006/relationships/image" Target="media/13ec56ffd761c27edcc0942009e889668ecc8c1f.png"/><Relationship Id="rId10" Type="http://schemas.openxmlformats.org/officeDocument/2006/relationships/image" Target="media/4335933d2efb8af0d2596ebf638391372acc697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2026-10-01T23:09:44.442Z</dcterms:created>
  <dcterms:modified xsi:type="dcterms:W3CDTF">2026-10-01T23:09:44.442Z</dcterms:modified>
</cp:coreProperties>
</file>

<file path=docProps/custom.xml><?xml version="1.0" encoding="utf-8"?>
<Properties xmlns="http://schemas.openxmlformats.org/officeDocument/2006/custom-properties" xmlns:vt="http://schemas.openxmlformats.org/officeDocument/2006/docPropsVTypes"/>
</file>