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3. Introduction</w:t>
      </w:r>
    </w:p>
    <w:p>
      <w:pPr>
        <w:spacing w:after="120" w:line="360"/>
        <w:ind w:firstLine="720"/>
        <w:jc w:val="both"/>
      </w:pPr>
      <w:r>
        <w:t xml:space="preserve">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pPr>
        <w:spacing w:after="120" w:line="360"/>
        <w:ind w:firstLine="720"/>
        <w:jc w:val="both"/>
      </w:pPr>
      <w:r>
        <w:t xml:space="preserve">The size of this gap is visible in a recent survey of 32 U.S. Deaf and hard-of-hearing ASL users (Figure 1) [1]. Participants most often wanted an interpreter but could not get one in medical settings, followed by professional and educational settings. These are exactly the settings where interpreting is legally mandated, which shows that the problem is not only one of law but of availability. Interpreters are costly, often must be booked in advance, and can take hours to arrive, especially in rural areas or at short notice [1].</w:t>
      </w:r>
    </w:p>
    <w:p>
      <w:pPr>
        <w:spacing w:after="120" w:line="360"/>
      </w:pPr>
      <w:r>
        <w:rPr>
          <w:i/>
          <w:iCs/>
          <w:color w:val="808080"/>
        </w:rPr>
        <w:t xml:space="preserve">[Figure 1. Insert the figure from Tran et al. [1] here. It is not stored in the public repository for copyright reasons.]</w:t>
      </w:r>
    </w:p>
    <w:p>
      <w:pPr>
        <w:spacing w:after="240"/>
        <w:ind w:left="360" w:right="360"/>
        <w:jc w:val="both"/>
      </w:pPr>
      <w:r>
        <w:rPr>
          <w:b/>
          <w:bCs/>
          <w:sz w:val="20"/>
          <w:szCs w:val="20"/>
        </w:rPr>
        <w:t xml:space="preserve">Figure 1. </w:t>
      </w:r>
      <w:r>
        <w:rPr>
          <w:sz w:val="20"/>
          <w:szCs w:val="20"/>
        </w:rPr>
        <w:t xml:space="preserve">How often Deaf and hard-of-hearing survey participants wanted a professional ASL interpreter but could not get one, by setting (n = 32). Reproduced from Tran et al. [1].</w:t>
      </w:r>
    </w:p>
    <w:p>
      <w:pPr>
        <w:spacing w:after="120" w:line="360"/>
        <w:ind w:firstLine="720"/>
        <w:jc w:val="both"/>
      </w:pPr>
      <w:r>
        <w:t xml:space="preserve">Automatic sign language processing has advanced quickly, but no system yet translates ASL reliably enough for general real-world use [1]. Research is divided into two tasks. </w:t>
      </w:r>
      <w:r>
        <w:rPr>
          <w:i/>
          <w:iCs/>
        </w:rPr>
        <w:t xml:space="preserve">Isolated sign language recognition</w:t>
      </w:r>
      <w:r>
        <w:t xml:space="preserve"> (ISLR) identifies a single sign from a fixed vocabulary. On the ASL Citizen dataset, which contains 83,399 videos of 2,731 signs from 52 signers, the best published baseline reaches 63.1% top-1 accuracy on signers not seen during training [2]. </w:t>
      </w:r>
      <w:r>
        <w:rPr>
          <w:i/>
          <w:iCs/>
        </w:rPr>
        <w:t xml:space="preserve">Sign language translation</w:t>
      </w:r>
      <w:r>
        <w:t xml:space="preserve"> (SLT) converts continuous signing into full sentences. SLT models have traditionally been trained on </w:t>
      </w:r>
      <w:r>
        <w:rPr>
          <w:i/>
          <w:iCs/>
        </w:rPr>
        <w:t xml:space="preserve">glosses</w:t>
      </w:r>
      <w:r>
        <w:t xml:space="preserve">, written labels for each sign in a sentence, which are expensive to annotate and scarce for ASL [3].</w:t>
      </w:r>
    </w:p>
    <w:p>
      <w:pPr>
        <w:spacing w:after="120" w:line="360"/>
        <w:ind w:firstLine="720"/>
        <w:jc w:val="both"/>
      </w:pPr>
      <w:r>
        <w:t xml:space="preserve">Recent research is therefore moving toward gloss-free and self-supervised models. SignDino, for example, learns sign representations from video without any gloss or text labels [4]. A parallel trend is lightweight models that work on body and hand landmarks extracted by tools such as MediaPipe [5], rather than on full video frames, which makes them small and fast enough for embedded hardware. The winning solution of the Google – Isolated Sign Language Recognition competition on Kaggle, a 1D convolutional network combined with a transformer, is one example [6].</w:t>
      </w:r>
    </w:p>
    <w:p>
      <w:pPr>
        <w:spacing w:after="120" w:line="360"/>
        <w:ind w:firstLine="720"/>
        <w:jc w:val="both"/>
      </w:pPr>
      <w:r>
        <w:t xml:space="preserve">Because gloss-free continuous translation still requires large models and datasets, our project uses landmark-based isolated recognition over a limited vocabulary. This approach runs offline on an embedded GPU, can be evaluated sign by sign, and produces confidence scores that the device can use to abstain rather than guess.</w:t>
      </w:r>
    </w:p>
    <w:p>
      <w:pPr>
        <w:spacing w:after="120" w:line="360"/>
        <w:ind w:firstLine="720"/>
        <w:jc w:val="both"/>
      </w:pPr>
      <w:r>
        <w:t xml:space="preserve">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pPr>
        <w:spacing w:after="120" w:line="360"/>
        <w:ind w:firstLine="720"/>
        <w:jc w:val="both"/>
      </w:pPr>
      <w:r>
        <w:t xml:space="preserve">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pPr>
        <w:spacing w:after="120" w:line="360"/>
        <w:ind w:firstLine="720"/>
        <w:jc w:val="both"/>
      </w:pPr>
      <w: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2, are to recognize a vocabulary of 100–250 ASL signs at no less than 75% top-1 and 90% top-5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its accuracy on the sentences it does speak, not only its overall accuracy. These figures are design targets; measured results will be reported as the project progresses.</w:t>
      </w:r>
    </w:p>
    <w:p>
      <w:pPr>
        <w:spacing w:after="120" w:line="360"/>
        <w:ind w:firstLine="720"/>
        <w:jc w:val="both"/>
      </w:pPr>
      <w:r>
        <w:t xml:space="preserve">We chose the service-counter setting based on Deaf users' own priorities. In the same survey,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(Figure 2) [1]. Participants also held their lowest accuracy expectations for kiosk-type exchanges and their highest for medical settings [1]. A service counter is therefore a realistic first target for a system with a vocabulary of a few hundred signs.</w:t>
      </w:r>
    </w:p>
    <w:p>
      <w:pPr>
        <w:spacing w:after="120" w:line="360"/>
      </w:pPr>
      <w:r>
        <w:rPr>
          <w:i/>
          <w:iCs/>
          <w:color w:val="808080"/>
        </w:rPr>
        <w:t xml:space="preserve">[Figure 2. Insert the figure from Tran et al. [1] here. It is not stored in the public repository for copyright reasons.]</w:t>
      </w:r>
    </w:p>
    <w:p>
      <w:pPr>
        <w:spacing w:after="240"/>
        <w:ind w:left="360" w:right="360"/>
        <w:jc w:val="both"/>
      </w:pPr>
      <w:r>
        <w:rPr>
          <w:b/>
          <w:bCs/>
          <w:sz w:val="20"/>
          <w:szCs w:val="20"/>
        </w:rPr>
        <w:t xml:space="preserve">Figure 2. </w:t>
      </w:r>
      <w:r>
        <w:rPr>
          <w:sz w:val="20"/>
          <w:szCs w:val="20"/>
        </w:rPr>
        <w:t xml:space="preserve">Survey participants' willingness to use automatic sign language translation in different settings (n = 32). Reproduced from Tran et al. [1].</w:t>
      </w:r>
    </w:p>
    <w:p>
      <w:pPr>
        <w:keepNext/>
        <w:spacing w:after="120" w:before="240"/>
        <w:jc w:val="center"/>
      </w:pPr>
      <w:r>
        <w:rPr>
          <w:b/>
          <w:bCs/>
          <w:sz w:val="20"/>
          <w:szCs w:val="20"/>
        </w:rPr>
        <w:t xml:space="preserve">Table 2. </w:t>
      </w:r>
      <w:r>
        <w:rPr>
          <w:sz w:val="20"/>
          <w:szCs w:val="20"/>
        </w:rPr>
        <w:t xml:space="preserve">Design targets for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cantSplit/>
          <w:tblHeader/>
        </w:trPr>
        <w:tc>
          <w:tcPr>
            <w:tcW w:type="dxa" w:w="29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Parameter</w:t>
            </w:r>
          </w:p>
        </w:tc>
        <w:tc>
          <w:tcPr>
            <w:tcW w:type="dxa" w:w="29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Target</w:t>
            </w:r>
          </w:p>
        </w:tc>
        <w:tc>
          <w:tcPr>
            <w:tcW w:type="dxa" w:w="35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Rationale</w:t>
            </w:r>
          </w:p>
        </w:tc>
      </w:tr>
      <w:tr>
        <w:trPr>
          <w:cantSplit/>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Vocabulary</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100–250 ASL signs, with fingerspelling as a fallback</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Covers common service-counter exchanges</w:t>
            </w:r>
          </w:p>
        </w:tc>
      </w:tr>
      <w:tr>
        <w:trPr>
          <w:cantSplit/>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Top-1 accuracy (unseen signers)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 75%</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Best published baseline is 63.1% on all 2,731 ASL Citizen signs [2]</w:t>
            </w:r>
          </w:p>
        </w:tc>
      </w:tr>
      <w:tr>
        <w:trPr>
          <w:cantSplit/>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Top-5 accuracy (unseen signers)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 90%</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The correct sign should almost always appear in the candidate list</w:t>
            </w:r>
          </w:p>
        </w:tc>
      </w:tr>
      <w:tr>
        <w:trPr>
          <w:cantSplit/>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Latency</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&lt; 1.2 s from confirmation to speech</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Keeps the conversation flowing</w:t>
            </w:r>
          </w:p>
        </w:tc>
      </w:tr>
      <w:tr>
        <w:trPr>
          <w:cantSplit/>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Output languages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English, Turkish, Spanish</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Chosen by the user on the touchscreen</w:t>
            </w:r>
          </w:p>
        </w:tc>
      </w:tr>
      <w:tr>
        <w:trPr>
          <w:cantSplit/>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Connectivity</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Fully offline</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Works anywhere; no video leaves the device</w:t>
            </w:r>
          </w:p>
        </w:tc>
      </w:tr>
      <w:tr>
        <w:trPr>
          <w:cantSplit/>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Platform</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NVIDIA Jetson Orin Nano</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Embedded GPU in a portable enclosure</w:t>
            </w:r>
          </w:p>
        </w:tc>
      </w:tr>
    </w:tbl>
    <w:p>
      <w:pPr>
        <w:spacing w:after="240"/>
      </w:pPr>
    </w:p>
    <w:p>
      <w:pPr>
        <w:spacing w:after="120" w:line="360"/>
        <w:ind w:firstLine="720"/>
        <w:jc w:val="both"/>
      </w:pPr>
      <w:r>
        <w:t xml:space="preserve">Figure 3 shows how the device is used at a service counter. The camera and touchscreen face the Deaf user, while the speaker and microphone face the hearing staff member. MediaPipe [5] extracts body, hand and face landmarks from each camera frame. In natural signing, signs flow into each other with minimal pauses, and segmenting them automatically is still an open research problem [7]. The user therefore signs one sign at a time and returns the hands to a rest position between signs, and the device uses this rest pose to mark where each sign ends. A lightweight landmark-based model, following the 1D-CNN and transformer design of [6], classifies each sign and outputs its five most likely labels with confidence scores. The model will be trained on the ASL Citizen dataset [2] and evaluated on its signer-independent test split and on recordings from our own test users.</w:t>
      </w:r>
    </w:p>
    <w:p>
      <w:pPr>
        <w:keepNext/>
        <w:spacing w:after="60" w:before="240"/>
        <w:jc w:val="center"/>
      </w:pPr>
      <w:r>
        <w:drawing>
          <wp:inline distT="0" distB="0" distL="0" distR="0">
            <wp:extent cx="5669280" cy="2638425"/>
            <wp:effectExtent t="0" r="0" b="0" l="0"/>
            <wp:docPr id="1" name="Figure 3." descr="The proposed device in use at a service counter (side view). The camera and touchscreen face the Deaf user; the speaker and microphone face the hearing staff member. All processing runs on the Jetson Orin Nano inside the base, without a network connection."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9280" cy="2638425"/>
                    </a:xfrm>
                    <a:prstGeom prst="rect">
                      <a:avLst/>
                    </a:prstGeom>
                  </pic:spPr>
                </pic:pic>
              </a:graphicData>
            </a:graphic>
          </wp:inline>
        </w:drawing>
      </w:r>
    </w:p>
    <w:p>
      <w:pPr>
        <w:spacing w:after="240"/>
        <w:ind w:left="360" w:right="360"/>
        <w:jc w:val="both"/>
      </w:pPr>
      <w:r>
        <w:rPr>
          <w:b/>
          <w:bCs/>
          <w:sz w:val="20"/>
          <w:szCs w:val="20"/>
        </w:rPr>
        <w:t xml:space="preserve">Figure 3. </w:t>
      </w:r>
      <w:r>
        <w:rPr>
          <w:sz w:val="20"/>
          <w:szCs w:val="20"/>
        </w:rPr>
        <w:t xml:space="preserve">The proposed device in use at a service counter (side view). The camera and touchscreen face the Deaf user; the speaker and microphone face the hearing staff member. All processing runs on the Jetson Orin Nano inside the base, without a network connection.</w:t>
      </w:r>
    </w:p>
    <w:p>
      <w:pPr>
        <w:spacing w:after="120" w:line="360"/>
        <w:ind w:firstLine="720"/>
        <w:jc w:val="both"/>
      </w:pPr>
      <w:r>
        <w:t xml:space="preserve">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[8]. The English sentence is shown on the touchscreen for the user to confirm or edit. Only confirmed sentences are translated into Turkish or Spanish with NLLB-200 [9] and spoken with Piper, an offline neural text-to-speech system [10]. In the reverse direction, a voice-activity detector starts listening when the hearing person speaks, and the microphone is muted while the device itself is speaking so that it does not transcribe its own voice. Whisper [11] then transcribes the reply and translates it into English, and the text appears on the same touchscreen. The hearing person needs no screen: they hear the device's speaker and speak into its microphone.</w:t>
      </w:r>
    </w:p>
    <w:p>
      <w:pPr>
        <w:spacing w:after="120" w:line="360"/>
        <w:ind w:firstLine="720"/>
        <w:jc w:val="both"/>
      </w:pPr>
      <w:r>
        <w:t xml:space="preserve">The device decides when to speak using the recognizer's confidence. If the confidence for a sign is above a threshold, the top sign is accepted; otherwise the touchscreen shows the five most likely candidates and the user picks one or signs again. Nothing is spoken until the user confirms the complete English sentence. This follows the idea of selective prediction, in which a model may abstain on uncertain inputs to raise accuracy on the answers it does give [12]. We will evaluate this trade-off with risk–coverage curves and report accuracy separately for each test signer.</w:t>
      </w:r>
    </w:p>
    <w:p>
      <w:pPr>
        <w:spacing w:after="120" w:line="360"/>
        <w:ind w:firstLine="720"/>
        <w:jc w:val="both"/>
      </w:pPr>
      <w:r>
        <w:t xml:space="preserve">Three trends shape the field. First, research is moving from gloss-based pipelines toward gloss-free and self-supervised models that learn from large amounts of unlabeled video [4], and pretrained language models are increasingly used for the language side of translation [8]. Second, models are moving onto consumer and embedded hardware. Landmark-based recognizers are small enough to run in real time on phones and single-board computers, which makes offline, privacy-preserving devices practical [5], [6]. Third, the field increasingly recognizes that sign language technology must be designed with Deaf communities rather than for them. Researchers have called for systems built around specific, real-world use cases with input from Deaf culture and linguistics experts [13], and Deaf and hard-of-hearing participants in recent studies emphasize Deaf-led design and warn of harm when they are excluded from decisions [14]. Our project follows the second and third trends directly; it does not attempt gloss-free continuous translation, which still requires large models and datasets.</w:t>
      </w:r>
    </w:p>
    <w:p>
      <w:pPr>
        <w:spacing w:after="120" w:line="360"/>
        <w:ind w:firstLine="720"/>
        <w:jc w:val="both"/>
      </w:pPr>
      <w:r>
        <w:t xml:space="preserve">No automatic ASL translation system is yet reliable enough for general use [1]. The best-known commercial effort, SignAll, combines multiple cameras with natural language processing to translate ASL into English text [15]. Patents show several other approaches, summarized in Table 1: multiple cameras with a depth sensor [16], single-camera recognition with cloud processing [17], sensor gloves [18], and an earlier glove- or camera-based system with speech output [19]. The closest to our design is Sign-Speak's system [17]. Like ours, it works from a single camera and, in one embodiment, lets the user choose among the three most likely translations. As Figure 4 shows, however, its recognition runs on a remote server, so it needs a network connection and sends the user's data off the device. Our device differs from all four in combining single-camera input, fully offline processing on an embedded GPU, confidence-gated output and speech in several languages. It is also a form factor the Deaf community is open to: 69% of the participants in [1] were comfortable using a stand-alone system of this kind, compared with 38% for wearables.</w:t>
      </w:r>
    </w:p>
    <w:p>
      <w:pPr>
        <w:keepNext/>
        <w:spacing w:after="120" w:before="240"/>
        <w:jc w:val="center"/>
      </w:pPr>
      <w:r>
        <w:rPr>
          <w:b/>
          <w:bCs/>
          <w:sz w:val="20"/>
          <w:szCs w:val="20"/>
        </w:rPr>
        <w:t xml:space="preserve">Table 1. </w:t>
      </w:r>
      <w:r>
        <w:rPr>
          <w:sz w:val="20"/>
          <w:szCs w:val="20"/>
        </w:rPr>
        <w:t xml:space="preserve">Comparison of patented sign language translation systems with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900"/>
        <w:gridCol w:w="36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System</w:t>
            </w:r>
          </w:p>
        </w:tc>
        <w:tc>
          <w:tcPr>
            <w:tcW w:type="dxa" w:w="21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Input</w:t>
            </w:r>
          </w:p>
        </w:tc>
        <w:tc>
          <w:tcPr>
            <w:tcW w:type="dxa" w:w="19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Processing</w:t>
            </w:r>
          </w:p>
        </w:tc>
        <w:tc>
          <w:tcPr>
            <w:tcW w:type="dxa" w:w="36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Output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Avodah [16]</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Multiple cameras and a depth sensor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On device and in the cloud</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speech or a signing avatar; two-way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Sign-Speak [17]</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Single camera</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Remote server (requires a network connection)</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in a target language; optional menu of the three most likely translations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Bosch [18]</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Gloves with motion sensors</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External processor</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or audio in one or more languages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Hitachi [19] (expired)</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Data gloves or camera</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Local computer</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or synthesized speech</w:t>
            </w:r>
          </w:p>
        </w:tc>
      </w:tr>
      <w:tr>
        <w:trPr>
          <w:cantSplit/>
          <w:tblHeader w:val="false"/>
        </w:trPr>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b/>
                <w:bCs/>
                <w:sz w:val="20"/>
                <w:szCs w:val="20"/>
              </w:rPr>
              <w:t xml:space="preserve">Proposed device</w:t>
            </w:r>
          </w:p>
        </w:tc>
        <w:tc>
          <w:tcPr>
            <w:tcW w:type="dxa" w:w="21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b/>
                <w:bCs/>
                <w:sz w:val="20"/>
                <w:szCs w:val="20"/>
              </w:rPr>
              <w:t xml:space="preserve">Single RGB camera and microphone</w:t>
            </w:r>
          </w:p>
        </w:tc>
        <w:tc>
          <w:tcPr>
            <w:tcW w:type="dxa" w:w="19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b/>
                <w:bCs/>
                <w:sz w:val="20"/>
                <w:szCs w:val="20"/>
              </w:rPr>
              <w:t xml:space="preserve">On device, fully offline</w:t>
            </w:r>
          </w:p>
        </w:tc>
        <w:tc>
          <w:tcPr>
            <w:tcW w:type="dxa" w:w="366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b/>
                <w:bCs/>
                <w:sz w:val="20"/>
                <w:szCs w:val="20"/>
              </w:rPr>
              <w:t xml:space="preserve">Speech in English, Turkish or Spanish after user confirmation; reply shown as English text</w:t>
            </w:r>
          </w:p>
        </w:tc>
      </w:tr>
    </w:tbl>
    <w:p>
      <w:pPr>
        <w:spacing w:after="240"/>
      </w:pPr>
    </w:p>
    <w:p>
      <w:pPr>
        <w:keepNext/>
        <w:spacing w:after="60" w:before="240"/>
        <w:jc w:val="center"/>
      </w:pPr>
      <w:r>
        <w:drawing>
          <wp:inline distT="0" distB="0" distL="0" distR="0">
            <wp:extent cx="5120640" cy="2981325"/>
            <wp:effectExtent t="0" r="0" b="0" l="0"/>
            <wp:docPr id="1" name="Figure 4." descr="Translation architecture in the Sign-Speak patent. A mobile capture device sends data to a remote server, where features are extracted and signs are matched against a sign and sentence base. Reproduced from U.S. Patent Appl. Pub. 2022/0327961 A1 [17]."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0640" cy="2981325"/>
                    </a:xfrm>
                    <a:prstGeom prst="rect">
                      <a:avLst/>
                    </a:prstGeom>
                  </pic:spPr>
                </pic:pic>
              </a:graphicData>
            </a:graphic>
          </wp:inline>
        </w:drawing>
      </w:r>
    </w:p>
    <w:p>
      <w:pPr>
        <w:spacing w:after="240"/>
        <w:ind w:left="360" w:right="360"/>
        <w:jc w:val="both"/>
      </w:pPr>
      <w:r>
        <w:rPr>
          <w:b/>
          <w:bCs/>
          <w:sz w:val="20"/>
          <w:szCs w:val="20"/>
        </w:rPr>
        <w:t xml:space="preserve">Figure 4. </w:t>
      </w:r>
      <w:r>
        <w:rPr>
          <w:sz w:val="20"/>
          <w:szCs w:val="20"/>
        </w:rPr>
        <w:t xml:space="preserve">Translation architecture in the Sign-Speak patent. A mobile capture device sends data to a remote server, where features are extracted and signs are matched against a sign and sentence base. Reproduced from U.S. Patent Appl. Pub. 2022/0327961 A1 [17].</w:t>
      </w:r>
    </w:p>
    <w:p>
      <w:pPr>
        <w:spacing w:after="120" w:line="360"/>
        <w:ind w:firstLine="720"/>
        <w:jc w:val="both"/>
      </w:pPr>
      <w:r>
        <w:t xml:space="preserve">Surveys of Deaf communities also identify the ethical risks of this technology. In [1], more than 80% of participants were concerned about hearing people profiting from ASL, systems missing ASL grammatical features, automatic translation weakening the legal right to other accommodations, and poorer performance for some users than others. A 2025 global survey found the same pattern: about 80% of Deaf respondents were concerned about hearing people making money from sign language technology, and about 70% about the lack of Deaf people leading or contributing to it (Figure 5) [14]. We address these concerns directly. The device is presented as a way to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in [13] and [14]. Because video never leaves the device, the design also avoids the privacy risk of streaming a user's image to a remote server.</w:t>
      </w:r>
    </w:p>
    <w:p>
      <w:pPr>
        <w:keepNext/>
        <w:spacing w:after="60" w:before="240"/>
        <w:jc w:val="center"/>
      </w:pPr>
      <w:r>
        <w:drawing>
          <wp:inline distT="0" distB="0" distL="0" distR="0">
            <wp:extent cx="5760720" cy="1619250"/>
            <wp:effectExtent t="0" r="0" b="0" l="0"/>
            <wp:docPr id="1" name="Figure 5." descr="Concerns about sign language technologies among Deaf, hard-of-hearing and hearing respondents in a global survey; numbers in parentheses are the number of mentions. Reproduced from Atwell et al. [14] under the CC BY 4.0 licens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1619250"/>
                    </a:xfrm>
                    <a:prstGeom prst="rect">
                      <a:avLst/>
                    </a:prstGeom>
                  </pic:spPr>
                </pic:pic>
              </a:graphicData>
            </a:graphic>
          </wp:inline>
        </w:drawing>
      </w:r>
    </w:p>
    <w:p>
      <w:pPr>
        <w:spacing w:after="240"/>
        <w:ind w:left="360" w:right="360"/>
        <w:jc w:val="both"/>
      </w:pPr>
      <w:r>
        <w:rPr>
          <w:b/>
          <w:bCs/>
          <w:sz w:val="20"/>
          <w:szCs w:val="20"/>
        </w:rPr>
        <w:t xml:space="preserve">Figure 5. </w:t>
      </w:r>
      <w:r>
        <w:rPr>
          <w:sz w:val="20"/>
          <w:szCs w:val="20"/>
        </w:rPr>
        <w:t xml:space="preserve">Concerns about sign language technologies among Deaf, hard-of-hearing and hearing respondents in a global survey; numbers in parentheses are the number of mentions. Reproduced from Atwell et al. [14] under the CC BY 4.0 license.</w:t>
      </w:r>
    </w:p>
    <w:p>
      <w:pPr>
        <w:spacing w:after="120" w:line="360"/>
        <w:ind w:firstLine="720"/>
        <w:jc w:val="both"/>
      </w:pPr>
      <w:r>
        <w:t xml:space="preserve">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For sustainability, it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pPr>
        <w:spacing w:after="120" w:line="360"/>
      </w:pPr>
      <w:r>
        <w:rPr>
          <w:i/>
          <w:iCs/>
          <w:color w:val="808080"/>
        </w:rPr>
        <w:t xml:space="preserve">[Add a cross-reference to the budget section once it is written.]</w:t>
      </w:r>
    </w:p>
    <w:p>
      <w:pPr>
        <w:pStyle w:val="Heading1"/>
        <w:spacing w:after="120" w:before="480"/>
      </w:pPr>
      <w:r>
        <w:t xml:space="preserve">References (to be moved to Section 12)</w:t>
      </w:r>
    </w:p>
    <w:p>
      <w:pPr>
        <w:spacing w:after="120"/>
        <w:ind w:left="720" w:hanging="720"/>
      </w:pPr>
      <w:r>
        <w:t xml:space="preserve">[1]	N. Tran, R. E. Ladner, and D. Bragg, “U.S. Deaf community perspectives on automatic sign language translation,” in Proc. 25th Int. ACM SIGACCESS Conf. Computers and Accessibility (ASSETS ’23), New York, NY, USA, 2023, doi: 10.1145/3597638.3614507.</w:t>
      </w:r>
    </w:p>
    <w:p>
      <w:pPr>
        <w:spacing w:after="120"/>
        <w:ind w:left="720" w:hanging="720"/>
      </w:pPr>
      <w:r>
        <w:t xml:space="preserve">[2]	A. Desai et al., “ASL Citizen: A community-sourced dataset for advancing isolated sign language recognition,” in Advances in Neural Information Processing Systems (NeurIPS) Datasets and Benchmarks Track, 2023, arXiv:2304.05934.</w:t>
      </w:r>
    </w:p>
    <w:p>
      <w:pPr>
        <w:spacing w:after="120"/>
        <w:ind w:left="720" w:hanging="720"/>
      </w:pPr>
      <w:r>
        <w:t xml:space="preserve">[3]	X. Zhang and K. Duh, “Improving sign language gloss translation with low-resource machine translation techniques.” [Online]. Available: https://www.cs.jhu.edu/~xzhan138/papers/SLMT_Book_G2T.pdf</w:t>
      </w:r>
    </w:p>
    <w:p>
      <w:pPr>
        <w:spacing w:after="120"/>
        <w:ind w:left="720" w:hanging="720"/>
      </w:pPr>
      <w:r>
        <w:t xml:space="preserve">[4]	J. Hu, Z. He, H. Huang, Z. Li, Z. Li, and Y. Fang, “SignDino: Self-supervised sign language representation learning via temporal-axis self-distillation,” 2026, arXiv:2609.06296.</w:t>
      </w:r>
    </w:p>
    <w:p>
      <w:pPr>
        <w:spacing w:after="120"/>
        <w:ind w:left="720" w:hanging="720"/>
      </w:pPr>
      <w:r>
        <w:t xml:space="preserve">[5]	C. Lugaresi et al., “MediaPipe: A framework for building perception pipelines,” 2019, arXiv:1906.08172.</w:t>
      </w:r>
    </w:p>
    <w:p>
      <w:pPr>
        <w:spacing w:after="120"/>
        <w:ind w:left="720" w:hanging="720"/>
      </w:pPr>
      <w:r>
        <w:t xml:space="preserve">[6]	H. Sohn, “1st place solution – 1DCNN combined with Transformer,” Google – Isolated Sign Language Recognition competition, Kaggle, 2023. [Online]. Available: https://www.kaggle.com/competitions/asl-signs/writeups/hoyeol-sohn-1st-place-solution-1dcnn-combined-with</w:t>
      </w:r>
    </w:p>
    <w:p>
      <w:pPr>
        <w:spacing w:after="120"/>
        <w:ind w:left="720" w:hanging="720"/>
      </w:pPr>
      <w:r>
        <w:t xml:space="preserve">[7]	A. Moryossef, Z. Jiang, M. Müller, S. Ebling, and Y. Goldberg, “Linguistically motivated sign language segmentation,” in Findings of the Association for Computational Linguistics: EMNLP 2023, arXiv:2310.13960.</w:t>
      </w:r>
    </w:p>
    <w:p>
      <w:pPr>
        <w:spacing w:after="120"/>
        <w:ind w:left="720" w:hanging="720"/>
      </w:pPr>
      <w:r>
        <w:t xml:space="preserve">[8]	P. Fayyazsanavi, A. Anastasopoulos, and J. Košecká, “Gloss2Text: Sign language gloss translation using LLMs and semantically aware label smoothing,” 2024, arXiv:2407.01394.</w:t>
      </w:r>
    </w:p>
    <w:p>
      <w:pPr>
        <w:spacing w:after="120"/>
        <w:ind w:left="720" w:hanging="720"/>
      </w:pPr>
      <w:r>
        <w:t xml:space="preserve">[9]	NLLB Team et al., “No Language Left Behind: Scaling human-centered machine translation,” 2022, arXiv:2207.04672.</w:t>
      </w:r>
    </w:p>
    <w:p>
      <w:pPr>
        <w:spacing w:after="120"/>
        <w:ind w:left="720" w:hanging="720"/>
      </w:pPr>
      <w:r>
        <w:t xml:space="preserve">[10]	Rhasspy, “Piper: A fast, local neural text to speech system.” [Online]. Available: https://github.com/rhasspy/piper</w:t>
      </w:r>
    </w:p>
    <w:p>
      <w:pPr>
        <w:spacing w:after="120"/>
        <w:ind w:left="720" w:hanging="720"/>
      </w:pPr>
      <w:r>
        <w:t xml:space="preserve">[11]	A. Radford, J. W. Kim, T. Xu, G. Brockman, C. McLeavey, and I. Sutskever, “Robust speech recognition via large-scale weak supervision,” 2022, arXiv:2212.04356.</w:t>
      </w:r>
    </w:p>
    <w:p>
      <w:pPr>
        <w:spacing w:after="120"/>
        <w:ind w:left="720" w:hanging="720"/>
      </w:pPr>
      <w:r>
        <w:t xml:space="preserve">[12]	J. Traub et al., “Overcoming common flaws in the evaluation of selective classification systems,” 2024, arXiv:2407.01032.</w:t>
      </w:r>
    </w:p>
    <w:p>
      <w:pPr>
        <w:spacing w:after="120"/>
        <w:ind w:left="720" w:hanging="720"/>
      </w:pPr>
      <w:r>
        <w:t xml:space="preserve">[13]	D. Bragg et al., “Sign language recognition, generation, and translation: An interdisciplinary perspective,” in Proc. 21st Int. ACM SIGACCESS Conf. Computers and Accessibility (ASSETS ’19), 2019, pp. 16–31, doi: 10.1145/3308561.3353774.</w:t>
      </w:r>
    </w:p>
    <w:p>
      <w:pPr>
        <w:spacing w:after="120"/>
        <w:ind w:left="720" w:hanging="720"/>
      </w:pPr>
      <w:r>
        <w:t xml:space="preserve">[14]	K. Atwell, S. Imai, D. Bragg, and M. Alikhani, “‘Nothing about us without us’: Perspectives of global Deaf and hard-of-hearing community members on sign language technologies,” 2025, arXiv:2512.08839.</w:t>
      </w:r>
    </w:p>
    <w:p>
      <w:pPr>
        <w:spacing w:after="120"/>
        <w:ind w:left="720" w:hanging="720"/>
      </w:pPr>
      <w:r>
        <w:t xml:space="preserve">[15]	SignAll, “SignAll translates sign language to English automatically,” PRWeb. [Online]. Available: https://www.prweb.com/releases/signall-translates-sign-language-to-english-automatically-868736288.html</w:t>
      </w:r>
    </w:p>
    <w:p>
      <w:pPr>
        <w:spacing w:after="120"/>
        <w:ind w:left="720" w:hanging="720"/>
      </w:pPr>
      <w:r>
        <w:t xml:space="preserve">[16]	M. Menefee, D. Nash, and T. Chandler, “Automated sign language translation and communication using multiple input and output modalities,” U.S. Patent 10 489 639 B2, Nov. 26, 2019.</w:t>
      </w:r>
    </w:p>
    <w:p>
      <w:pPr>
        <w:spacing w:after="120"/>
        <w:ind w:left="720" w:hanging="720"/>
      </w:pPr>
      <w:r>
        <w:t xml:space="preserve">[17]	N. A. Kelly, “Realtime AI sign language recognition,” U.S. Patent Appl. Pub. 2022/0327961 A1, Oct. 13, 2022.</w:t>
      </w:r>
    </w:p>
    <w:p>
      <w:pPr>
        <w:spacing w:after="120"/>
        <w:ind w:left="720" w:hanging="720"/>
      </w:pPr>
      <w:r>
        <w:t xml:space="preserve">[18]	Z. Zhou et al., “System and method for automated sign language recognition,” U.S. Patent Appl. Pub. 2016/0307469 A1, Oct. 20, 2016.</w:t>
      </w:r>
    </w:p>
    <w:p>
      <w:pPr>
        <w:spacing w:after="120"/>
        <w:ind w:left="720" w:hanging="720"/>
      </w:pPr>
      <w:r>
        <w:t xml:space="preserve">[19]	H. Sakou et al., “Sign recognition apparatus and method and sign translation system using same,” U.S. Patent 5 887 069, Mar. 23, 1999.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6f6dad6d2b7d72b8e2f7fda21653ebad260a2f.png"/><Relationship Id="rId8" Type="http://schemas.openxmlformats.org/officeDocument/2006/relationships/image" Target="media/13ec56ffd761c27edcc0942009e889668ecc8c1f.png"/><Relationship Id="rId9" Type="http://schemas.openxmlformats.org/officeDocument/2006/relationships/image" Target="media/4335933d2efb8af0d2596ebf638391372acc697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2026-09-25T01:29:32.207Z</dcterms:created>
  <dcterms:modified xsi:type="dcterms:W3CDTF">2026-09-25T01:29:32.211Z</dcterms:modified>
</cp:coreProperties>
</file>

<file path=docProps/custom.xml><?xml version="1.0" encoding="utf-8"?>
<Properties xmlns="http://schemas.openxmlformats.org/officeDocument/2006/custom-properties" xmlns:vt="http://schemas.openxmlformats.org/officeDocument/2006/docPropsVTypes"/>
</file>