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C5BCC" w:rsidRDefault="00BC5BCC" w14:paraId="4D87DAE1" w14:textId="7AEF5611"/>
    <w:p w:rsidRPr="00BC5BCC" w:rsidR="003F0C72" w:rsidRDefault="003F0C72" w14:paraId="069DEB14" w14:textId="77777777">
      <w:pPr>
        <w:jc w:val="center"/>
      </w:pPr>
    </w:p>
    <w:p w:rsidR="003F0C72" w:rsidRDefault="00F50CCE" w14:paraId="384C3E20" w14:textId="53DD0464">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rsidR="003F0C72" w:rsidRDefault="003F0C72" w14:paraId="4D7D535A" w14:textId="77777777">
      <w:pPr>
        <w:jc w:val="center"/>
        <w:rPr>
          <w:b/>
          <w:sz w:val="32"/>
        </w:rPr>
      </w:pPr>
    </w:p>
    <w:p w:rsidR="003F0C72" w:rsidRDefault="003F0C72" w14:paraId="280F77D7" w14:textId="77777777">
      <w:pPr>
        <w:jc w:val="center"/>
        <w:rPr>
          <w:b/>
          <w:sz w:val="32"/>
        </w:rPr>
      </w:pPr>
    </w:p>
    <w:p w:rsidR="003F0C72" w:rsidP="00F50CCE" w:rsidRDefault="003F0C72" w14:paraId="1ADCF6E9" w14:textId="77777777">
      <w:pPr>
        <w:rPr>
          <w:b/>
          <w:sz w:val="32"/>
        </w:rPr>
      </w:pPr>
    </w:p>
    <w:p w:rsidR="003F0C72" w:rsidRDefault="003F0C72" w14:paraId="4FC4C4BE" w14:textId="77777777">
      <w:pPr>
        <w:jc w:val="center"/>
        <w:rPr>
          <w:b/>
          <w:sz w:val="32"/>
        </w:rPr>
      </w:pPr>
    </w:p>
    <w:p w:rsidRPr="004F6114" w:rsidR="004F6114" w:rsidP="004F6114" w:rsidRDefault="004F6114" w14:paraId="34A3CC4E" w14:textId="77777777">
      <w:pPr>
        <w:jc w:val="center"/>
        <w:rPr>
          <w:b/>
          <w:color w:val="C00000"/>
          <w:sz w:val="32"/>
        </w:rPr>
      </w:pPr>
      <w:r w:rsidRPr="004F6114">
        <w:rPr>
          <w:b/>
          <w:color w:val="C00000"/>
          <w:sz w:val="32"/>
        </w:rPr>
        <w:t>Helen and John C. Hartmann Department of Electrical and Computer Engineering</w:t>
      </w:r>
    </w:p>
    <w:p w:rsidRPr="004F6114" w:rsidR="004F6114" w:rsidRDefault="004F6114" w14:paraId="755C7500" w14:textId="77777777">
      <w:pPr>
        <w:jc w:val="center"/>
        <w:rPr>
          <w:b/>
          <w:color w:val="C00000"/>
          <w:sz w:val="32"/>
        </w:rPr>
      </w:pPr>
    </w:p>
    <w:p w:rsidR="004F6114" w:rsidRDefault="004F6114" w14:paraId="4F4D3488" w14:textId="77777777">
      <w:pPr>
        <w:jc w:val="center"/>
        <w:rPr>
          <w:b/>
          <w:sz w:val="32"/>
        </w:rPr>
      </w:pPr>
    </w:p>
    <w:p w:rsidR="006C09BA" w:rsidRDefault="006C09BA" w14:paraId="3FDE3575" w14:textId="6FF2C3C4">
      <w:pPr>
        <w:jc w:val="center"/>
        <w:rPr>
          <w:b/>
          <w:sz w:val="32"/>
        </w:rPr>
      </w:pPr>
      <w:r>
        <w:rPr>
          <w:b/>
          <w:sz w:val="32"/>
        </w:rPr>
        <w:t>ECE 414 Senior Design Project Proposal</w:t>
      </w:r>
    </w:p>
    <w:p w:rsidR="0043625C" w:rsidRDefault="0043625C" w14:paraId="324B9B0B" w14:textId="77777777">
      <w:pPr>
        <w:jc w:val="center"/>
        <w:rPr>
          <w:b/>
          <w:sz w:val="32"/>
        </w:rPr>
      </w:pPr>
    </w:p>
    <w:p w:rsidR="0043625C" w:rsidRDefault="0043625C" w14:paraId="1987BE0E" w14:textId="77777777">
      <w:pPr>
        <w:jc w:val="center"/>
        <w:rPr>
          <w:b/>
          <w:sz w:val="32"/>
        </w:rPr>
      </w:pPr>
    </w:p>
    <w:p w:rsidRPr="00D729DF" w:rsidR="0043625C" w:rsidP="00D729DF" w:rsidRDefault="00D729DF" w14:paraId="0792D663" w14:textId="4BE1213D">
      <w:pPr>
        <w:ind w:right="1260"/>
        <w:jc w:val="right"/>
        <w:rPr>
          <w:b/>
          <w:sz w:val="24"/>
          <w:szCs w:val="24"/>
        </w:rPr>
      </w:pPr>
      <w:r>
        <w:rPr>
          <w:b/>
          <w:sz w:val="24"/>
          <w:szCs w:val="24"/>
        </w:rPr>
        <w:t xml:space="preserve">Team number      </w:t>
      </w:r>
    </w:p>
    <w:p w:rsidR="0043625C" w:rsidRDefault="0043625C" w14:paraId="27374964" w14:textId="77777777">
      <w:pPr>
        <w:jc w:val="center"/>
        <w:rPr>
          <w:b/>
          <w:sz w:val="32"/>
        </w:rPr>
      </w:pPr>
    </w:p>
    <w:p w:rsidR="006C09BA" w:rsidRDefault="006C09BA" w14:paraId="0F07485D" w14:textId="103BF2F5">
      <w:pPr>
        <w:spacing w:line="360" w:lineRule="auto"/>
        <w:rPr>
          <w:sz w:val="24"/>
        </w:rPr>
      </w:pPr>
      <w:r>
        <w:rPr>
          <w:sz w:val="24"/>
        </w:rPr>
        <w:t>Project</w:t>
      </w:r>
      <w:r w:rsidR="00E0764F">
        <w:rPr>
          <w:sz w:val="24"/>
        </w:rPr>
        <w:t xml:space="preserve"> Title</w:t>
      </w:r>
      <w:r>
        <w:rPr>
          <w:sz w:val="24"/>
        </w:rPr>
        <w:t xml:space="preserve">: </w:t>
      </w:r>
      <w:r w:rsidRPr="009F3B9B" w:rsidR="009F3B9B">
        <w:rPr>
          <w:sz w:val="24"/>
        </w:rPr>
        <w:t>Multilingual Sign-to-Speech Communication Device: Edge-Deployed ASL Recognition with Confidence-Gated Speech Output</w:t>
      </w:r>
    </w:p>
    <w:p w:rsidR="009F3B9B" w:rsidRDefault="009F3B9B" w14:paraId="48059B26" w14:textId="77777777">
      <w:pPr>
        <w:spacing w:line="360" w:lineRule="auto"/>
        <w:rPr>
          <w:sz w:val="24"/>
        </w:rPr>
      </w:pPr>
    </w:p>
    <w:p w:rsidR="009F3B9B" w:rsidRDefault="006C09BA" w14:paraId="0E5F5D7A" w14:textId="77777777">
      <w:pPr>
        <w:pStyle w:val="Heading1"/>
        <w:spacing w:line="360" w:lineRule="auto"/>
      </w:pPr>
      <w:r>
        <w:t xml:space="preserve">Name(s): </w:t>
      </w:r>
      <w:r w:rsidRPr="009F3B9B" w:rsidR="009F3B9B">
        <w:t xml:space="preserve">Zeynep Hafsa </w:t>
      </w:r>
      <w:proofErr w:type="spellStart"/>
      <w:r w:rsidRPr="009F3B9B" w:rsidR="009F3B9B">
        <w:t>Cakici</w:t>
      </w:r>
      <w:proofErr w:type="spellEnd"/>
      <w:r w:rsidR="009F3B9B">
        <w:t xml:space="preserve"> </w:t>
      </w:r>
      <w:r w:rsidR="009F3B9B">
        <w:tab/>
      </w:r>
      <w:r>
        <w:t xml:space="preserve">ID# </w:t>
      </w:r>
      <w:r w:rsidRPr="009F3B9B" w:rsidR="009F3B9B">
        <w:t>________</w:t>
      </w:r>
    </w:p>
    <w:p w:rsidR="006C09BA" w:rsidRDefault="006C09BA" w14:paraId="4D29F88C" w14:textId="0090C1BA">
      <w:pPr>
        <w:pStyle w:val="Heading1"/>
        <w:spacing w:line="360" w:lineRule="auto"/>
      </w:pPr>
      <w:r>
        <w:t xml:space="preserve">Name(s): </w:t>
      </w:r>
      <w:proofErr w:type="spellStart"/>
      <w:r w:rsidRPr="009F3B9B" w:rsidR="009F3B9B">
        <w:t>Dorukhan</w:t>
      </w:r>
      <w:proofErr w:type="spellEnd"/>
      <w:r w:rsidRPr="009F3B9B" w:rsidR="009F3B9B">
        <w:t xml:space="preserve"> Cakir</w:t>
      </w:r>
      <w:r w:rsidR="009F3B9B">
        <w:t xml:space="preserve"> </w:t>
      </w:r>
      <w:r w:rsidR="009F3B9B">
        <w:tab/>
      </w:r>
      <w:r w:rsidR="009F3B9B">
        <w:tab/>
      </w:r>
      <w:r>
        <w:t xml:space="preserve">ID# </w:t>
      </w:r>
      <w:r w:rsidRPr="009F3B9B" w:rsidR="009F3B9B">
        <w:t>________</w:t>
      </w:r>
    </w:p>
    <w:p w:rsidR="003F0C72" w:rsidP="009F3B9B" w:rsidRDefault="009F3B9B" w14:paraId="5CDF36FF" w14:textId="767570AD">
      <w:pPr>
        <w:pStyle w:val="Heading1"/>
        <w:spacing w:line="360" w:lineRule="auto"/>
      </w:pPr>
      <w:r w:rsidR="006C09BA">
        <w:rPr/>
        <w:t xml:space="preserve">Name(s): </w:t>
      </w:r>
      <w:r w:rsidR="009F3B9B">
        <w:rPr/>
        <w:t>Merrick Simmons</w:t>
      </w:r>
      <w:r>
        <w:tab/>
      </w:r>
      <w:r>
        <w:tab/>
      </w:r>
      <w:r w:rsidR="006C09BA">
        <w:rPr/>
        <w:t xml:space="preserve">ID# </w:t>
      </w:r>
      <w:r w:rsidR="009F3B9B">
        <w:rPr/>
        <w:t>________</w:t>
      </w:r>
    </w:p>
    <w:p w:rsidR="003F0C72" w:rsidP="009F3B9B" w:rsidRDefault="009F3B9B" w14:paraId="5FFF4D74" w14:textId="49AE77B4">
      <w:pPr>
        <w:pStyle w:val="Heading1"/>
        <w:spacing w:line="360" w:lineRule="auto"/>
      </w:pPr>
      <w:r w:rsidR="009F3B9B">
        <w:rPr/>
        <w:t xml:space="preserve">Name(s): </w:t>
      </w:r>
      <w:r w:rsidR="009F3B9B">
        <w:rPr/>
        <w:t>Asmar Hasanova</w:t>
      </w:r>
      <w:r>
        <w:tab/>
      </w:r>
      <w:r>
        <w:tab/>
      </w:r>
      <w:r w:rsidR="009F3B9B">
        <w:rPr/>
        <w:t xml:space="preserve">ID# </w:t>
      </w:r>
      <w:r w:rsidR="009F3B9B">
        <w:rPr/>
        <w:t>________</w:t>
      </w:r>
      <w:r>
        <w:br w:type="page"/>
      </w:r>
    </w:p>
    <w:p w:rsidR="000450A1" w:rsidP="000450A1" w:rsidRDefault="00FD0281" w14:paraId="48EAF4AC" w14:textId="6A801536">
      <w:pPr>
        <w:pStyle w:val="BodyText"/>
        <w:rPr>
          <w:b/>
        </w:rPr>
      </w:pPr>
      <w:r>
        <w:rPr>
          <w:b/>
        </w:rPr>
        <w:t xml:space="preserve">1. </w:t>
      </w:r>
      <w:r w:rsidRPr="007D575C" w:rsidR="006C09BA">
        <w:rPr>
          <w:b/>
        </w:rPr>
        <w:t>Abstract</w:t>
      </w:r>
      <w:r w:rsidR="007A3399">
        <w:rPr>
          <w:b/>
        </w:rPr>
        <w:t xml:space="preserve"> </w:t>
      </w:r>
    </w:p>
    <w:p w:rsidR="009F3B9B" w:rsidP="009F3B9B" w:rsidRDefault="009F3B9B" w14:paraId="699C6120" w14:textId="06162F71">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pPr>
        <w:spacing w:before="240"/>
      </w:pPr>
    </w:p>
    <w:p w:rsidR="00E74B14" w:rsidP="00E74B14" w:rsidRDefault="001E3D53" w14:paraId="71613BEE" w14:textId="5D74318F">
      <w:pPr>
        <w:pStyle w:val="BodyText"/>
        <w:rPr>
          <w:b/>
        </w:rPr>
      </w:pPr>
      <w:r w:rsidRPr="001E3D53">
        <w:rPr>
          <w:b/>
        </w:rPr>
        <w:t>2. Table of Contents</w:t>
      </w:r>
    </w:p>
    <w:p>
      <w:pPr>
        <w:spacing w:after="120"/>
      </w:pPr>
      <w:r>
        <w:fldChar w:fldCharType="begin" w:dirty="true"/>
      </w:r>
      <w:r>
        <w:instrText xml:space="preserve"> TOC \h \z \t "Intro Section,1,Intro Subsection,2" </w:instrText>
      </w:r>
      <w:r>
        <w:fldChar w:fldCharType="separate"/>
      </w:r>
      <w:r>
        <w:rPr>
          <w:i/>
          <w:sz w:val="24"/>
        </w:rPr>
        <w:t>Right-click here and choose Update Field to build the table of contents.</w:t>
      </w:r>
      <w:r>
        <w:fldChar w:fldCharType="end"/>
      </w:r>
    </w:p>
    <w:p>
      <w:r>
        <w:br w:type="page"/>
      </w:r>
    </w:p>
    <w:p>
      <w:pPr>
        <w:pStyle w:val="IntroSection"/>
        <w:keepNext/>
        <w:spacing w:after="120" w:before="0"/>
      </w:pPr>
      <w:r>
        <w:rPr>
          <w:rFonts w:ascii="Times New Roman" w:cs="Times New Roman" w:eastAsia="Times New Roman" w:hAnsi="Times New Roman"/>
          <w:b/>
          <w:bCs/>
          <w:sz w:val="24"/>
          <w:szCs w:val="24"/>
        </w:rPr>
        <w:t xml:space="preserve">3. Introduction</w:t>
      </w:r>
    </w:p>
    <w:p>
      <w:pPr>
        <w:spacing w:after="120" w:line="360"/>
        <w:ind w:firstLine="720"/>
        <w:jc w:val="both"/>
      </w:pPr>
      <w:r>
        <w:rPr>
          <w:rFonts w:ascii="Times New Roman" w:cs="Times New Roman" w:eastAsia="Times New Roman" w:hAnsi="Times New Roman"/>
          <w:sz w:val="24"/>
          <w:szCs w:val="24"/>
        </w:rP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pStyle w:val="IntroSubsection"/>
        <w:keepNext/>
        <w:spacing w:after="100" w:before="200"/>
      </w:pPr>
      <w:r>
        <w:rPr>
          <w:rFonts w:ascii="Times New Roman" w:cs="Times New Roman" w:eastAsia="Times New Roman" w:hAnsi="Times New Roman"/>
          <w:b/>
          <w:bCs/>
          <w:sz w:val="24"/>
          <w:szCs w:val="24"/>
        </w:rPr>
        <w:t xml:space="preserve">3.1 Background</w:t>
      </w:r>
    </w:p>
    <w:p>
      <w:pPr>
        <w:spacing w:after="120" w:line="360"/>
        <w:ind w:firstLine="720"/>
        <w:jc w:val="both"/>
      </w:pPr>
      <w:r>
        <w:rPr>
          <w:rFonts w:ascii="Times New Roman" w:cs="Times New Roman" w:eastAsia="Times New Roman" w:hAnsi="Times New Roman"/>
          <w:sz w:val="24"/>
          <w:szCs w:val="24"/>
        </w:rPr>
        <w:t xml:space="preserve">Automatic sign language processing has advanced quickly, but no system yet translates ASL reliably enough for general real-world use [1]. Research is divided into two tasks. </w:t>
      </w:r>
      <w:r>
        <w:rPr>
          <w:rFonts w:ascii="Times New Roman" w:cs="Times New Roman" w:eastAsia="Times New Roman" w:hAnsi="Times New Roman"/>
          <w:i/>
          <w:iCs/>
          <w:sz w:val="24"/>
          <w:szCs w:val="24"/>
        </w:rPr>
        <w:t xml:space="preserve">Isolated sign language recognition</w:t>
      </w:r>
      <w:r>
        <w:rPr>
          <w:rFonts w:ascii="Times New Roman" w:cs="Times New Roman" w:eastAsia="Times New Roman" w:hAnsi="Times New Roman"/>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rFonts w:ascii="Times New Roman" w:cs="Times New Roman" w:eastAsia="Times New Roman" w:hAnsi="Times New Roman"/>
          <w:i/>
          <w:iCs/>
          <w:sz w:val="24"/>
          <w:szCs w:val="24"/>
        </w:rPr>
        <w:t xml:space="preserve">Sign language translation</w:t>
      </w:r>
      <w:r>
        <w:rPr>
          <w:rFonts w:ascii="Times New Roman" w:cs="Times New Roman" w:eastAsia="Times New Roman" w:hAnsi="Times New Roman"/>
          <w:sz w:val="24"/>
          <w:szCs w:val="24"/>
        </w:rPr>
        <w:t xml:space="preserve"> (SLT) converts continuous signing into full sentences. SLT models have traditionally been trained on </w:t>
      </w:r>
      <w:r>
        <w:rPr>
          <w:rFonts w:ascii="Times New Roman" w:cs="Times New Roman" w:eastAsia="Times New Roman" w:hAnsi="Times New Roman"/>
          <w:i/>
          <w:iCs/>
          <w:sz w:val="24"/>
          <w:szCs w:val="24"/>
        </w:rPr>
        <w:t xml:space="preserve">glosses</w:t>
      </w:r>
      <w:r>
        <w:rPr>
          <w:rFonts w:ascii="Times New Roman" w:cs="Times New Roman" w:eastAsia="Times New Roman" w:hAnsi="Times New Roman"/>
          <w:sz w:val="24"/>
          <w:szCs w:val="24"/>
        </w:rPr>
        <w:t xml:space="preserve">, written labels for each sign in a sentence, which are expensive to annotate and scarce for ASL [3].</w:t>
      </w:r>
    </w:p>
    <w:p>
      <w:pPr>
        <w:spacing w:after="120" w:line="360"/>
        <w:ind w:firstLine="720"/>
        <w:jc w:val="both"/>
      </w:pPr>
      <w:r>
        <w:rPr>
          <w:rFonts w:ascii="Times New Roman" w:cs="Times New Roman" w:eastAsia="Times New Roman" w:hAnsi="Times New Roman"/>
          <w:sz w:val="24"/>
          <w:szCs w:val="24"/>
        </w:rPr>
        <w:t xml:space="preserve">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pPr>
        <w:spacing w:after="120" w:line="360"/>
        <w:ind w:firstLine="720"/>
        <w:jc w:val="both"/>
      </w:pPr>
      <w:r>
        <w:rPr>
          <w:rFonts w:ascii="Times New Roman" w:cs="Times New Roman" w:eastAsia="Times New Roman" w:hAnsi="Times New Roman"/>
          <w:sz w:val="24"/>
          <w:szCs w:val="24"/>
        </w:rPr>
        <w:t xml:space="preserve">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pPr>
        <w:pStyle w:val="IntroSubsection"/>
        <w:keepNext/>
        <w:spacing w:after="100" w:before="200"/>
      </w:pPr>
      <w:r>
        <w:rPr>
          <w:rFonts w:ascii="Times New Roman" w:cs="Times New Roman" w:eastAsia="Times New Roman" w:hAnsi="Times New Roman"/>
          <w:b/>
          <w:bCs/>
          <w:sz w:val="24"/>
          <w:szCs w:val="24"/>
        </w:rPr>
        <w:t xml:space="preserve">3.2 Problem Statement</w:t>
      </w:r>
    </w:p>
    <w:p>
      <w:pPr>
        <w:spacing w:after="120" w:line="360"/>
        <w:ind w:firstLine="720"/>
        <w:jc w:val="both"/>
      </w:pPr>
      <w:r>
        <w:rPr>
          <w:rFonts w:ascii="Times New Roman" w:cs="Times New Roman" w:eastAsia="Times New Roman" w:hAnsi="Times New Roman"/>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pPr>
        <w:spacing w:after="120" w:line="360"/>
        <w:ind w:firstLine="720"/>
        <w:jc w:val="both"/>
      </w:pPr>
      <w:r>
        <w:rPr>
          <w:rFonts w:ascii="Times New Roman" w:cs="Times New Roman" w:eastAsia="Times New Roman" w:hAnsi="Times New Roman"/>
          <w:sz w:val="24"/>
          <w:szCs w:val="24"/>
        </w:rP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rPr>
          <w:rFonts w:ascii="Times New Roman" w:cs="Times New Roman" w:eastAsia="Times New Roman" w:hAnsi="Times New Roman"/>
          <w:sz w:val="24"/>
          <w:szCs w:val="24"/>
        </w:rP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pStyle w:val="IntroSubsection"/>
        <w:keepNext/>
        <w:spacing w:after="100" w:before="200"/>
      </w:pPr>
      <w:r>
        <w:rPr>
          <w:rFonts w:ascii="Times New Roman" w:cs="Times New Roman" w:eastAsia="Times New Roman" w:hAnsi="Times New Roman"/>
          <w:b/>
          <w:bCs/>
          <w:sz w:val="24"/>
          <w:szCs w:val="24"/>
        </w:rPr>
        <w:t xml:space="preserve">3.3 Objectives</w:t>
      </w:r>
    </w:p>
    <w:p>
      <w:pPr>
        <w:spacing w:after="120" w:line="360"/>
        <w:ind w:firstLine="720"/>
        <w:jc w:val="both"/>
      </w:pPr>
      <w:r>
        <w:rPr>
          <w:rFonts w:ascii="Times New Roman" w:cs="Times New Roman" w:eastAsia="Times New Roman" w:hAnsi="Times New Roman"/>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rPr>
          <w:rFonts w:ascii="Times New Roman" w:cs="Times New Roman" w:eastAsia="Times New Roman" w:hAnsi="Times New Roman"/>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pPr>
        <w:keepNext/>
        <w:spacing w:after="60" w:before="240"/>
        <w:jc w:val="center"/>
      </w:pPr>
      <w:r>
        <w:drawing>
          <wp:inline distT="0" distB="0" distL="0" distR="0">
            <wp:extent cx="5760720" cy="3181350"/>
            <wp:effectExtent t="0" r="0" b="0" l="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1" cstate="none"/>
                    <a:srcRect/>
                    <a:stretch>
                      <a:fillRect/>
                    </a:stretch>
                  </pic:blipFill>
                  <pic:spPr bwMode="auto">
                    <a:xfrm>
                      <a:off x="0" y="0"/>
                      <a:ext cx="5760720" cy="31813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pPr>
        <w:keepNext/>
        <w:spacing w:after="120" w:before="24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Parameter</w:t>
            </w:r>
          </w:p>
        </w:tc>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5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Rationale</w:t>
            </w:r>
          </w:p>
        </w:tc>
      </w:tr>
      <w:tr>
        <w:trPr>
          <w:cantSplit/>
          <w:tblHeader w:val="false"/>
        </w:trPr>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w:t>
            </w:r>
          </w:p>
        </w:tc>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100–250 ASL signs, with fingerspelling as a fallback</w:t>
            </w:r>
          </w:p>
        </w:tc>
        <w:tc>
          <w:tcPr>
            <w:tcW w:type="dxa" w:w="35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Covers common service-counter exchanges</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Top-1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Best published baseline is 63.1% on all 2,731 ASL Citizen signs [2]</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Top-5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90%</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correct sign should almost always appear in the candidate list</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Latency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confirmation to speech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Keeps the conversation flowing</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Output languages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English, Turkish, Spanish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Chosen by the user on the touchscreen</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Connectivity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Fully offline</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Works anywhere; no video leaves the device</w:t>
            </w:r>
          </w:p>
        </w:tc>
      </w:tr>
      <w:tr>
        <w:trPr>
          <w:cantSplit/>
          <w:tblHeader w:val="false"/>
        </w:trPr>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Platform</w:t>
            </w:r>
          </w:p>
        </w:tc>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NVIDIA Jetson Orin Nano</w:t>
            </w:r>
          </w:p>
        </w:tc>
        <w:tc>
          <w:tcPr>
            <w:tcW w:type="dxa" w:w="35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Embedded GPU in a portable enclosure</w:t>
            </w:r>
          </w:p>
        </w:tc>
      </w:tr>
    </w:tbl>
    <w:p>
      <w:pPr>
        <w:spacing w:after="240"/>
      </w:pPr>
    </w:p>
    <w:p>
      <w:pPr>
        <w:pStyle w:val="IntroSubsection"/>
        <w:keepNext/>
        <w:spacing w:after="100" w:before="200"/>
      </w:pPr>
      <w:r>
        <w:rPr>
          <w:rFonts w:ascii="Times New Roman" w:cs="Times New Roman" w:eastAsia="Times New Roman" w:hAnsi="Times New Roman"/>
          <w:b/>
          <w:bCs/>
          <w:sz w:val="24"/>
          <w:szCs w:val="24"/>
        </w:rPr>
        <w:t xml:space="preserve">3.4 Proposed Approach</w:t>
      </w:r>
    </w:p>
    <w:p>
      <w:pPr>
        <w:spacing w:after="120" w:line="360"/>
        <w:ind w:firstLine="720"/>
        <w:jc w:val="both"/>
      </w:pPr>
      <w:r>
        <w:rPr>
          <w:rFonts w:ascii="Times New Roman" w:cs="Times New Roman" w:eastAsia="Times New Roman" w:hAnsi="Times New Roman"/>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pPr>
        <w:keepNext/>
        <w:spacing w:after="60" w:before="240"/>
        <w:jc w:val="center"/>
      </w:pPr>
      <w:r>
        <w:drawing>
          <wp:inline distT="0" distB="0" distL="0" distR="0">
            <wp:extent cx="5120640" cy="2952750"/>
            <wp:effectExtent t="0" r="0" b="0" l="0"/>
            <wp:docPr id="1001"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2" cstate="none"/>
                    <a:srcRect/>
                    <a:stretch>
                      <a:fillRect/>
                    </a:stretch>
                  </pic:blipFill>
                  <pic:spPr bwMode="auto">
                    <a:xfrm>
                      <a:off x="0" y="0"/>
                      <a:ext cx="5120640" cy="29527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rPr>
          <w:rFonts w:ascii="Times New Roman" w:cs="Times New Roman" w:eastAsia="Times New Roman" w:hAnsi="Times New Roman"/>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pPr>
        <w:spacing w:after="120" w:line="360"/>
        <w:ind w:firstLine="720"/>
        <w:jc w:val="both"/>
      </w:pPr>
      <w:r>
        <w:rPr>
          <w:rFonts w:ascii="Times New Roman" w:cs="Times New Roman" w:eastAsia="Times New Roman" w:hAnsi="Times New Roman"/>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[14]. We will evaluate this trade-off with risk–coverage curves and report accuracy separately for each test signer.</w:t>
      </w:r>
    </w:p>
    <w:p>
      <w:pPr>
        <w:pStyle w:val="IntroSubsection"/>
        <w:keepNext/>
        <w:spacing w:after="100" w:before="200"/>
      </w:pPr>
      <w:r>
        <w:rPr>
          <w:rFonts w:ascii="Times New Roman" w:cs="Times New Roman" w:eastAsia="Times New Roman" w:hAnsi="Times New Roman"/>
          <w:b/>
          <w:bCs/>
          <w:sz w:val="24"/>
          <w:szCs w:val="24"/>
        </w:rPr>
        <w:t xml:space="preserve">3.5 Current Trends</w:t>
      </w:r>
    </w:p>
    <w:p>
      <w:pPr>
        <w:spacing w:after="120" w:line="360"/>
        <w:ind w:firstLine="720"/>
        <w:jc w:val="both"/>
      </w:pPr>
      <w:r>
        <w:rPr>
          <w:rFonts w:ascii="Times New Roman" w:cs="Times New Roman" w:eastAsia="Times New Roman" w:hAnsi="Times New Roman"/>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pPr>
        <w:pStyle w:val="IntroSubsection"/>
        <w:keepNext/>
        <w:spacing w:after="100" w:before="200"/>
      </w:pPr>
      <w:r>
        <w:rPr>
          <w:rFonts w:ascii="Times New Roman" w:cs="Times New Roman" w:eastAsia="Times New Roman" w:hAnsi="Times New Roman"/>
          <w:b/>
          <w:bCs/>
          <w:sz w:val="24"/>
          <w:szCs w:val="24"/>
        </w:rPr>
        <w:t xml:space="preserve">3.6 Existing Systems</w:t>
      </w:r>
    </w:p>
    <w:p>
      <w:pPr>
        <w:spacing w:after="120" w:line="360"/>
        <w:ind w:firstLine="720"/>
        <w:jc w:val="both"/>
      </w:pPr>
      <w:r>
        <w:rPr>
          <w:rFonts w:ascii="Times New Roman" w:cs="Times New Roman" w:eastAsia="Times New Roman" w:hAnsi="Times New Roman"/>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pPr>
        <w:keepNext/>
        <w:spacing w:after="120" w:before="24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System</w:t>
            </w:r>
          </w:p>
        </w:tc>
        <w:tc>
          <w:tcPr>
            <w:tcW w:type="dxa" w:w="21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Input</w:t>
            </w:r>
          </w:p>
        </w:tc>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Processing</w:t>
            </w:r>
          </w:p>
        </w:tc>
        <w:tc>
          <w:tcPr>
            <w:tcW w:type="dxa" w:w="36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Output</w:t>
            </w:r>
          </w:p>
        </w:tc>
      </w:tr>
      <w:tr>
        <w:trPr>
          <w:cantSplit/>
          <w:tblHeader w:val="false"/>
        </w:trPr>
        <w:tc>
          <w:tcPr>
            <w:tcW w:type="dxa" w:w="17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Avodah [18]</w:t>
            </w:r>
          </w:p>
        </w:tc>
        <w:tc>
          <w:tcPr>
            <w:tcW w:type="dxa" w:w="21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Multiple cameras and a depth sensor</w:t>
            </w:r>
          </w:p>
        </w:tc>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On device and in the cloud</w:t>
            </w:r>
          </w:p>
        </w:tc>
        <w:tc>
          <w:tcPr>
            <w:tcW w:type="dxa" w:w="36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speech or a signing avatar; two-way</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Sign-Speak [19]</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Single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Remote server (requires a network connection)</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in a target language; optional menu of the three most likely translations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Bosch [20]</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Gloves with motion sensors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External processor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audio in one or more languages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Hitachi [21] (expired)</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gloves or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Local computer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synthesized speech</w:t>
            </w:r>
          </w:p>
        </w:tc>
      </w:tr>
      <w:tr>
        <w:trPr>
          <w:cantSplit/>
          <w:tblHeader w:val="false"/>
        </w:trPr>
        <w:tc>
          <w:tcPr>
            <w:tcW w:type="dxa" w:w="17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iCs/>
                <w:sz w:val="20"/>
                <w:szCs w:val="20"/>
              </w:rPr>
              <w:t xml:space="preserve">Proposed device</w:t>
            </w:r>
          </w:p>
        </w:tc>
        <w:tc>
          <w:tcPr>
            <w:tcW w:type="dxa" w:w="21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Single RGB camera and microphone</w:t>
            </w:r>
          </w:p>
        </w:tc>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On device, fully offline</w:t>
            </w:r>
          </w:p>
        </w:tc>
        <w:tc>
          <w:tcPr>
            <w:tcW w:type="dxa" w:w="36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001"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3"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[19].</w:t>
      </w:r>
    </w:p>
    <w:p>
      <w:pPr>
        <w:pStyle w:val="IntroSubsection"/>
        <w:keepNext/>
        <w:spacing w:after="100" w:before="200"/>
      </w:pPr>
      <w:r>
        <w:rPr>
          <w:rFonts w:ascii="Times New Roman" w:cs="Times New Roman" w:eastAsia="Times New Roman" w:hAnsi="Times New Roman"/>
          <w:b/>
          <w:bCs/>
          <w:sz w:val="24"/>
          <w:szCs w:val="24"/>
        </w:rPr>
        <w:t xml:space="preserve">3.7 Ethics, Economics and Sustainability</w:t>
      </w:r>
    </w:p>
    <w:p>
      <w:pPr>
        <w:spacing w:after="120" w:line="360"/>
        <w:ind w:firstLine="720"/>
        <w:jc w:val="both"/>
      </w:pPr>
      <w:r>
        <w:rPr>
          <w:rFonts w:ascii="Times New Roman" w:cs="Times New Roman" w:eastAsia="Times New Roman" w:hAnsi="Times New Roman"/>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001"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4"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Concerns about sign language technologies among Deaf, hard-of-hearing and hearing respondents in a global survey; numbers in parentheses are the number of mentions. Reproduced from Atwell et al. [16] under the Creative Commons Attribution 4.0 (CC BY 4.0) license.</w:t>
      </w:r>
    </w:p>
    <w:p>
      <w:pPr>
        <w:spacing w:after="120" w:line="360"/>
        <w:ind w:firstLine="720"/>
        <w:jc w:val="both"/>
      </w:pPr>
      <w:r>
        <w:rPr>
          <w:rFonts w:ascii="Times New Roman" w:cs="Times New Roman" w:eastAsia="Times New Roman" w:hAnsi="Times New Roman"/>
          <w:sz w:val="24"/>
          <w:szCs w:val="24"/>
        </w:rP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The project has three technical goals. Each has a measurable target that will be used to validate the prototype, consistent with the design targets in Table 1. Table 3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chosen for the service-counter setting, from body and hand landmarks captured by a single RGB camera. The target is at least 75% top-1 and 90% top-5 accuracy on signers not seen during training, measured on the ASL Citizen test split and on our own recordings [2]. The recognizer must also produce reliable confidence scores so that the device can abstain on uncertain signs. We will therefore report both the accuracy on the signs the device accepts and the share of signs it accepts, using risk–coverage analysis [14]. This goal covers vocabulary selection, landmark extraction, rest-pose segmentation, model training and confidence calibration.</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recognized signs into an English sentence, let the user confirm or edit it on the touchscreen, translate it into Turkish or Spanish when selected, and speak it aloud. In the other direction, the hearing person's speech is converted into English text on the same screen. The target is less than 1.2 s from the user's confirmation to the start of speech. Translation quality will be checked on a fixed test set of service-counter phrases, rated by native Turkish and Spanish speakers.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in a portable enclosure with a camera, touchscreen, microphone and speaker, without any network connection. The targets are landmark extraction and recognition at no less than 15 frames per second, all models fitting within the module's 8 GB of memory, and a full conversation working with networking disabled. We will also measure the device's power draw in watts to guide the choice of power supply.</w:t>
      </w:r>
    </w:p>
    <w:p>
      <w:pPr>
        <w:keepNext/>
        <w:spacing w:after="120" w:before="24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Team responsibilities for the technical goals. Each member leads one area and supports another, so every goal has at least two people familiar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48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Goal</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Support</w:t>
            </w:r>
          </w:p>
        </w:tc>
        <w:tc>
          <w:tcPr>
            <w:tcW w:type="dxa" w:w="48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Main tasks</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8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 selection, landmark extraction, rest-pose segmentation, model training, confidence calibration, accuracy evaluation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8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Sentence builder, touchscreen interface, translation, text-to-speech, speech recognition, latency measurement</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8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Hardware purchase and setup, enclosure, deployment on the Jetson Orin Nano, frame-rate and power measurement</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48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Schedule, reports, user testing with Deaf ASL users, documentation</w:t>
            </w:r>
          </w:p>
        </w:tc>
      </w:tr>
    </w:tbl>
    <w:p>
      <w:pPr>
        <w:spacing w:after="240"/>
      </w:pPr>
    </w:p>
    <w:p>
      <w:pPr>
        <w:pStyle w:val="IntroSection"/>
        <w:keepNext/>
        <w:spacing w:after="120" w:before="24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are Deaf ASL users, whose need for interpreters often goes unmet [1]. The device lets them communicate independently in everyday exchanges, such as at a store counter, a bank or a front desk, or while waiting for an interpreter, instead of writing notes or relying on family members to interpret. Because the spoken output can be in English, Turkish or Spanish, it also serves hearing staff and family members who speak these languages, which matters in multilingual communities such as those in New Jersey.</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The device does not replace an interpreter when one is required, but it can support short, routine exchanges for which an interpreter is rarely available at short notice. Because it runs offline, it can also be used in rural areas and in places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continuous video upload. Because the device is built from off-the-shelf, replaceable parts and open-source software, it can be repaired and upgraded rather than discarded.</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Table 4 summarizes the main ethical issues for this project and our response to each.</w:t>
      </w:r>
    </w:p>
    <w:p>
      <w:pPr>
        <w:keepNext/>
        <w:spacing w:after="120" w:before="24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Use short sentences and an adjustable font size; record this as a known limitation</w:t>
            </w:r>
          </w:p>
        </w:tc>
      </w:tr>
    </w:tbl>
    <w:p>
      <w:pPr>
        <w:spacing w:after="240"/>
      </w:pPr>
    </w:p>
    <w:p>
      <w:pPr>
        <w:spacing w:after="120" w:line="360"/>
        <w:ind w:firstLine="720"/>
        <w:jc w:val="both"/>
      </w:pPr>
      <w:r>
        <w:rPr>
          <w:rFonts w:ascii="Times New Roman" w:cs="Times New Roman" w:eastAsia="Times New Roman" w:hAnsi="Times New Roman"/>
          <w:sz w:val="24"/>
          <w:szCs w:val="24"/>
        </w:rPr>
        <w:t xml:space="preserve">Deaf involvement is the most important of these issues. Our team is hearing, and both surveys cited in Section 3 show that Deaf communities are most concerned about sign language technology built without them [1], [16]. We will therefore contact the ASL community at NJIT before choosing the vocabulary, invite Deaf signers to test the prototype, and adjust the design based on their feedback. Any testing with people will follow NJIT's requirements for research involving human participants.</w:t>
      </w:r>
    </w:p>
    <w:p>
      <w:r>
        <w:br w:type="page"/>
      </w:r>
    </w:p>
    <w:p>
      <w:pPr>
        <w:pStyle w:val="IntroSection"/>
        <w:keepNext/>
        <w:spacing w:after="120" w:before="0"/>
      </w:pPr>
      <w:r>
        <w:rPr>
          <w:rFonts w:ascii="Times New Roman" w:cs="Times New Roman" w:eastAsia="Times New Roman" w:hAnsi="Times New Roman"/>
          <w:b/>
          <w:bCs/>
          <w:sz w:val="24"/>
          <w:szCs w:val="24"/>
        </w:rPr>
        <w:t xml:space="preserve">12. References</w:t>
      </w:r>
    </w:p>
    <w:p>
      <w:pPr>
        <w:spacing w:after="120"/>
        <w:ind w:left="432" w:hanging="432"/>
      </w:pPr>
      <w:r>
        <w:rPr>
          <w:rFonts w:ascii="Times New Roman" w:cs="Times New Roman" w:eastAsia="Times New Roman" w:hAnsi="Times New Roman"/>
          <w:sz w:val="24"/>
          <w:szCs w:val="24"/>
        </w:rPr>
        <w:t xml:space="preserve">1.	Tran, N., Ladner, R. E., and Bragg, D. U.S. Deaf community perspectives on automatic sign language translation. </w:t>
      </w:r>
      <w:r>
        <w:rPr>
          <w:rFonts w:ascii="Times New Roman" w:cs="Times New Roman" w:eastAsia="Times New Roman" w:hAnsi="Times New Roman"/>
          <w:i/>
          <w:iCs/>
          <w:sz w:val="24"/>
          <w:szCs w:val="24"/>
        </w:rPr>
        <w:t xml:space="preserve">Proceedings of the 25th International ACM SIGACCESS Conference on Computers and Accessibility (ASSETS ’23)</w:t>
      </w:r>
      <w:r>
        <w:rPr>
          <w:rFonts w:ascii="Times New Roman" w:cs="Times New Roman" w:eastAsia="Times New Roman" w:hAnsi="Times New Roman"/>
          <w:sz w:val="24"/>
          <w:szCs w:val="24"/>
        </w:rPr>
        <w:t xml:space="preserve">, New York, NY, USA, 2023. doi:10.1145/3597638.3614507.</w:t>
      </w:r>
    </w:p>
    <w:p>
      <w:pPr>
        <w:spacing w:after="120"/>
        <w:ind w:left="432" w:hanging="432"/>
      </w:pPr>
      <w:r>
        <w:rPr>
          <w:rFonts w:ascii="Times New Roman" w:cs="Times New Roman" w:eastAsia="Times New Roman" w:hAnsi="Times New Roman"/>
          <w:sz w:val="24"/>
          <w:szCs w:val="24"/>
        </w:rPr>
        <w:t xml:space="preserve">2.	Desai, A., Berger, L., Minakov, F. O., Milan, V., Singh, C., Pumphrey, K., Ladner, R. E., Daumé III, H., Lu, A. X., Caselli, N., and Bragg, D. ASL Citizen: A community-sourced dataset for advancing isolated sign language recognition.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36 (Datasets and Benchmarks Track), 2023. arXiv:2304.05934.</w:t>
      </w:r>
    </w:p>
    <w:p>
      <w:pPr>
        <w:spacing w:after="120"/>
        <w:ind w:left="432" w:hanging="432"/>
      </w:pPr>
      <w:r>
        <w:rPr>
          <w:rFonts w:ascii="Times New Roman" w:cs="Times New Roman" w:eastAsia="Times New Roman" w:hAnsi="Times New Roman"/>
          <w:sz w:val="24"/>
          <w:szCs w:val="24"/>
        </w:rPr>
        <w:t xml:space="preserve">3.	Zhang, X., and Duh, K. Approaching sign language gloss translation as a low-resource machine translation task. </w:t>
      </w:r>
      <w:r>
        <w:rPr>
          <w:rFonts w:ascii="Times New Roman" w:cs="Times New Roman" w:eastAsia="Times New Roman" w:hAnsi="Times New Roman"/>
          <w:i/>
          <w:iCs/>
          <w:sz w:val="24"/>
          <w:szCs w:val="24"/>
        </w:rPr>
        <w:t xml:space="preserve">Proceedings of the 1st International Workshop on Automatic Translation for Signed and Spoken Languages (AT4SSL)</w:t>
      </w:r>
      <w:r>
        <w:rPr>
          <w:rFonts w:ascii="Times New Roman" w:cs="Times New Roman" w:eastAsia="Times New Roman" w:hAnsi="Times New Roman"/>
          <w:sz w:val="24"/>
          <w:szCs w:val="24"/>
        </w:rPr>
        <w:t xml:space="preserve">, 60–70, 2021.</w:t>
      </w:r>
    </w:p>
    <w:p>
      <w:pPr>
        <w:spacing w:after="120"/>
        <w:ind w:left="432" w:hanging="432"/>
      </w:pPr>
      <w:r>
        <w:rPr>
          <w:rFonts w:ascii="Times New Roman" w:cs="Times New Roman" w:eastAsia="Times New Roman" w:hAnsi="Times New Roman"/>
          <w:sz w:val="24"/>
          <w:szCs w:val="24"/>
        </w:rPr>
        <w:t xml:space="preserve">4.	Hu, J., He, Z., Huang, H., Li, Z., Li, Z., and Fang, Y. SignDino: Self-supervised sign language representation learning via temporal-axis self-distillation.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arXiv:2609.06296, 2026.</w:t>
      </w:r>
    </w:p>
    <w:p>
      <w:pPr>
        <w:spacing w:after="120"/>
        <w:ind w:left="432" w:hanging="432"/>
      </w:pPr>
      <w:r>
        <w:rPr>
          <w:rFonts w:ascii="Times New Roman" w:cs="Times New Roman" w:eastAsia="Times New Roman" w:hAnsi="Times New Roman"/>
          <w:sz w:val="24"/>
          <w:szCs w:val="24"/>
        </w:rPr>
        <w:t xml:space="preserve">5.	Gan, S., Liu, X., Yin, Y., Liu, N., Liu, K., Tuerdaken, D., Jiang, Z., Xie, L., Lu, S., and Wen, H. Learning effective sign features without text for gloss-free sign language translation. </w:t>
      </w:r>
      <w:r>
        <w:rPr>
          <w:rFonts w:ascii="Times New Roman" w:cs="Times New Roman" w:eastAsia="Times New Roman" w:hAnsi="Times New Roman"/>
          <w:i/>
          <w:iCs/>
          <w:sz w:val="24"/>
          <w:szCs w:val="24"/>
        </w:rPr>
        <w:t xml:space="preserve">Proceedings of the IEEE/CVF Conference on Computer Vision and Pattern Recognition (CVPR)</w:t>
      </w:r>
      <w:r>
        <w:rPr>
          <w:rFonts w:ascii="Times New Roman" w:cs="Times New Roman" w:eastAsia="Times New Roman" w:hAnsi="Times New Roman"/>
          <w:sz w:val="24"/>
          <w:szCs w:val="24"/>
        </w:rPr>
        <w:t xml:space="preserve">, 9827–9836, 2026.</w:t>
      </w:r>
    </w:p>
    <w:p>
      <w:pPr>
        <w:spacing w:after="120"/>
        <w:ind w:left="432" w:hanging="432"/>
      </w:pPr>
      <w:r>
        <w:rPr>
          <w:rFonts w:ascii="Times New Roman" w:cs="Times New Roman" w:eastAsia="Times New Roman" w:hAnsi="Times New Roman"/>
          <w:sz w:val="24"/>
          <w:szCs w:val="24"/>
        </w:rPr>
        <w:t xml:space="preserve">6.	Lugaresi, C., Tang, J., Nash, H., McClanahan, C., Uboweja, E., Hays, M., Zhang, F., Chang, C.-L., Yong, M. G., Lee, J., Chang, W.-T., Hua, W., Georg, M., and Grundmann, M. MediaPipe: A framework for building perception pipelines.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arXiv:1906.08172, 2019.</w:t>
      </w:r>
    </w:p>
    <w:p>
      <w:pPr>
        <w:spacing w:after="120"/>
        <w:ind w:left="432" w:hanging="432"/>
      </w:pPr>
      <w:r>
        <w:rPr>
          <w:rFonts w:ascii="Times New Roman" w:cs="Times New Roman" w:eastAsia="Times New Roman" w:hAnsi="Times New Roman"/>
          <w:sz w:val="24"/>
          <w:szCs w:val="24"/>
        </w:rPr>
        <w:t xml:space="preserve">7.	Sohn, H. 1st place solution: 1DCNN combined with Transformer. </w:t>
      </w:r>
      <w:r>
        <w:rPr>
          <w:rFonts w:ascii="Times New Roman" w:cs="Times New Roman" w:eastAsia="Times New Roman" w:hAnsi="Times New Roman"/>
          <w:i/>
          <w:iCs/>
          <w:sz w:val="24"/>
          <w:szCs w:val="24"/>
        </w:rPr>
        <w:t xml:space="preserve">Google – Isolated Sign Language Recognition Competition, Kaggle</w:t>
      </w:r>
      <w:r>
        <w:rPr>
          <w:rFonts w:ascii="Times New Roman" w:cs="Times New Roman" w:eastAsia="Times New Roman" w:hAnsi="Times New Roman"/>
          <w:sz w:val="24"/>
          <w:szCs w:val="24"/>
        </w:rPr>
        <w:t xml:space="preserve">, 2023. Available: https://www.kaggle.com/competitions/asl-signs/writeups/hoyeol-sohn-1st-place-solution-1dcnn-combined-with [Accessed: 25-Sep-2026].</w:t>
      </w:r>
    </w:p>
    <w:p>
      <w:pPr>
        <w:spacing w:after="120"/>
        <w:ind w:left="432" w:hanging="432"/>
      </w:pPr>
      <w:r>
        <w:rPr>
          <w:rFonts w:ascii="Times New Roman" w:cs="Times New Roman" w:eastAsia="Times New Roman" w:hAnsi="Times New Roman"/>
          <w:sz w:val="24"/>
          <w:szCs w:val="24"/>
        </w:rPr>
        <w:t xml:space="preserve">8.	Licciardello, R., Fargetta, G., Ortis, A., and Battiato, S. CSLRTransformer: A pose-only system for continuous sign language recognition. </w:t>
      </w:r>
      <w:r>
        <w:rPr>
          <w:rFonts w:ascii="Times New Roman" w:cs="Times New Roman" w:eastAsia="Times New Roman" w:hAnsi="Times New Roman"/>
          <w:i/>
          <w:iCs/>
          <w:sz w:val="24"/>
          <w:szCs w:val="24"/>
        </w:rPr>
        <w:t xml:space="preserve">Proceedings of the IEEE/CVF Conference on Computer Vision and Pattern Recognition (CVPR) Workshops</w:t>
      </w:r>
      <w:r>
        <w:rPr>
          <w:rFonts w:ascii="Times New Roman" w:cs="Times New Roman" w:eastAsia="Times New Roman" w:hAnsi="Times New Roman"/>
          <w:sz w:val="24"/>
          <w:szCs w:val="24"/>
        </w:rPr>
        <w:t xml:space="preserve">, 2026.</w:t>
      </w:r>
    </w:p>
    <w:p>
      <w:pPr>
        <w:spacing w:after="120"/>
        <w:ind w:left="432" w:hanging="432"/>
      </w:pPr>
      <w:r>
        <w:rPr>
          <w:rFonts w:ascii="Times New Roman" w:cs="Times New Roman" w:eastAsia="Times New Roman" w:hAnsi="Times New Roman"/>
          <w:sz w:val="24"/>
          <w:szCs w:val="24"/>
        </w:rPr>
        <w:t xml:space="preserve">9.	Moryossef, A., Jiang, Z., Müller, M., Ebling, S., and Goldberg, Y. Linguistically motivated sign language segmentation. </w:t>
      </w:r>
      <w:r>
        <w:rPr>
          <w:rFonts w:ascii="Times New Roman" w:cs="Times New Roman" w:eastAsia="Times New Roman" w:hAnsi="Times New Roman"/>
          <w:i/>
          <w:iCs/>
          <w:sz w:val="24"/>
          <w:szCs w:val="24"/>
        </w:rPr>
        <w:t xml:space="preserve">Findings of the Association for Computational Linguistics: EMNLP 2023</w:t>
      </w:r>
      <w:r>
        <w:rPr>
          <w:rFonts w:ascii="Times New Roman" w:cs="Times New Roman" w:eastAsia="Times New Roman" w:hAnsi="Times New Roman"/>
          <w:sz w:val="24"/>
          <w:szCs w:val="24"/>
        </w:rPr>
        <w:t xml:space="preserve">, 12703–12724, 2023.</w:t>
      </w:r>
    </w:p>
    <w:p>
      <w:pPr>
        <w:spacing w:after="120"/>
        <w:ind w:left="432" w:hanging="432"/>
      </w:pPr>
      <w:r>
        <w:rPr>
          <w:rFonts w:ascii="Times New Roman" w:cs="Times New Roman" w:eastAsia="Times New Roman" w:hAnsi="Times New Roman"/>
          <w:sz w:val="24"/>
          <w:szCs w:val="24"/>
        </w:rPr>
        <w:t xml:space="preserve">10.	Fayyazsanavi, P., Anastasopoulos, A., and Košecká, J. Gloss2Text: Sign language gloss translation using LLMs and semantically aware label smoothing.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16162–16171, 2024.</w:t>
      </w:r>
    </w:p>
    <w:p>
      <w:pPr>
        <w:spacing w:after="120"/>
        <w:ind w:left="432" w:hanging="432"/>
      </w:pPr>
      <w:r>
        <w:rPr>
          <w:rFonts w:ascii="Times New Roman" w:cs="Times New Roman" w:eastAsia="Times New Roman" w:hAnsi="Times New Roman"/>
          <w:sz w:val="24"/>
          <w:szCs w:val="24"/>
        </w:rPr>
        <w:t xml:space="preserve">11.	NLLB Team, Costa-jussà, M. R., Cross, J., et al. No Language Left Behind: Scaling human-centered machine translation.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arXiv:2207.04672, 2022.</w:t>
      </w:r>
    </w:p>
    <w:p>
      <w:pPr>
        <w:spacing w:after="120"/>
        <w:ind w:left="432" w:hanging="432"/>
      </w:pPr>
      <w:r>
        <w:rPr>
          <w:rFonts w:ascii="Times New Roman" w:cs="Times New Roman" w:eastAsia="Times New Roman" w:hAnsi="Times New Roman"/>
          <w:sz w:val="24"/>
          <w:szCs w:val="24"/>
        </w:rPr>
        <w:t xml:space="preserve">12.	Hansen, M. Piper: A fast, local neural text to speech system. </w:t>
      </w:r>
      <w:r>
        <w:rPr>
          <w:rFonts w:ascii="Times New Roman" w:cs="Times New Roman" w:eastAsia="Times New Roman" w:hAnsi="Times New Roman"/>
          <w:i/>
          <w:iCs/>
          <w:sz w:val="24"/>
          <w:szCs w:val="24"/>
        </w:rPr>
        <w:t xml:space="preserve">GitHub repository</w:t>
      </w:r>
      <w:r>
        <w:rPr>
          <w:rFonts w:ascii="Times New Roman" w:cs="Times New Roman" w:eastAsia="Times New Roman" w:hAnsi="Times New Roman"/>
          <w:sz w:val="24"/>
          <w:szCs w:val="24"/>
        </w:rPr>
        <w:t xml:space="preserve">, 2023. Available: https://github.com/rhasspy/piper [Accessed: 25-Sep-2026].</w:t>
      </w:r>
    </w:p>
    <w:p>
      <w:pPr>
        <w:spacing w:after="120"/>
        <w:ind w:left="432" w:hanging="432"/>
      </w:pPr>
      <w:r>
        <w:rPr>
          <w:rFonts w:ascii="Times New Roman" w:cs="Times New Roman" w:eastAsia="Times New Roman" w:hAnsi="Times New Roman"/>
          <w:sz w:val="24"/>
          <w:szCs w:val="24"/>
        </w:rPr>
        <w:t xml:space="preserve">13.	Radford, A., Kim, J. W., Xu, T., Brockman, G., McLeavey, C., and Sutskever, I. Robust speech recognition via large-scale weak supervision. </w:t>
      </w:r>
      <w:r>
        <w:rPr>
          <w:rFonts w:ascii="Times New Roman" w:cs="Times New Roman" w:eastAsia="Times New Roman" w:hAnsi="Times New Roman"/>
          <w:i/>
          <w:iCs/>
          <w:sz w:val="24"/>
          <w:szCs w:val="24"/>
        </w:rPr>
        <w:t xml:space="preserve">Proceedings of the 40th International Conference on Machine Learning (ICML), PMLR</w:t>
      </w:r>
      <w:r>
        <w:rPr>
          <w:rFonts w:ascii="Times New Roman" w:cs="Times New Roman" w:eastAsia="Times New Roman" w:hAnsi="Times New Roman"/>
          <w:sz w:val="24"/>
          <w:szCs w:val="24"/>
        </w:rPr>
        <w:t xml:space="preserve">, 202, 28492–28518, 2023.</w:t>
      </w:r>
    </w:p>
    <w:p>
      <w:pPr>
        <w:spacing w:after="120"/>
        <w:ind w:left="432" w:hanging="432"/>
      </w:pPr>
      <w:r>
        <w:rPr>
          <w:rFonts w:ascii="Times New Roman" w:cs="Times New Roman" w:eastAsia="Times New Roman" w:hAnsi="Times New Roman"/>
          <w:sz w:val="24"/>
          <w:szCs w:val="24"/>
        </w:rPr>
        <w:t xml:space="preserve">14.	Traub, J., Bungert, T. J., Lüth, C. T., Baumgartner, M., Maier-Hein, K. H., Maier-Hein, L., and Jaeger, P. F. Overcoming common flaws in the evaluation of selective classification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37, 2024.</w:t>
      </w:r>
    </w:p>
    <w:p>
      <w:pPr>
        <w:spacing w:after="120"/>
        <w:ind w:left="432" w:hanging="432"/>
      </w:pPr>
      <w:r>
        <w:rPr>
          <w:rFonts w:ascii="Times New Roman" w:cs="Times New Roman" w:eastAsia="Times New Roman" w:hAnsi="Times New Roman"/>
          <w:sz w:val="24"/>
          <w:szCs w:val="24"/>
        </w:rPr>
        <w:t xml:space="preserve">15.	Bragg, D., Koller, O., Bellard, M., Berke, L., Boudreault, P., Braffort, A., Caselli, N., Huenerfauth, M., Kacorri, H., Verhoef, T., Vogler, C., and Morris, M. R. Sign language recognition, generation, and translation: An interdisciplinary perspective. </w:t>
      </w:r>
      <w:r>
        <w:rPr>
          <w:rFonts w:ascii="Times New Roman" w:cs="Times New Roman" w:eastAsia="Times New Roman" w:hAnsi="Times New Roman"/>
          <w:i/>
          <w:iCs/>
          <w:sz w:val="24"/>
          <w:szCs w:val="24"/>
        </w:rPr>
        <w:t xml:space="preserve">Proceedings of the 21st International ACM SIGACCESS Conference on Computers and Accessibility (ASSETS ’19)</w:t>
      </w:r>
      <w:r>
        <w:rPr>
          <w:rFonts w:ascii="Times New Roman" w:cs="Times New Roman" w:eastAsia="Times New Roman" w:hAnsi="Times New Roman"/>
          <w:sz w:val="24"/>
          <w:szCs w:val="24"/>
        </w:rPr>
        <w:t xml:space="preserve">, 16–31, 2019.</w:t>
      </w:r>
    </w:p>
    <w:p>
      <w:pPr>
        <w:spacing w:after="120"/>
        <w:ind w:left="432" w:hanging="432"/>
      </w:pPr>
      <w:r>
        <w:rPr>
          <w:rFonts w:ascii="Times New Roman" w:cs="Times New Roman" w:eastAsia="Times New Roman" w:hAnsi="Times New Roman"/>
          <w:sz w:val="24"/>
          <w:szCs w:val="24"/>
        </w:rPr>
        <w:t xml:space="preserve">16.	Atwell, K., Imai, S., Bragg, D., and Alikhani, M. “Nothing about us without us”: Perspectives of global Deaf and hard-of-hearing community members on sign language technologies.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arXiv:2512.08839, 2025.</w:t>
      </w:r>
    </w:p>
    <w:p>
      <w:pPr>
        <w:spacing w:after="120"/>
        <w:ind w:left="432" w:hanging="432"/>
      </w:pPr>
      <w:r>
        <w:rPr>
          <w:rFonts w:ascii="Times New Roman" w:cs="Times New Roman" w:eastAsia="Times New Roman" w:hAnsi="Times New Roman"/>
          <w:sz w:val="24"/>
          <w:szCs w:val="24"/>
        </w:rPr>
        <w:t xml:space="preserve">17.	SignAll Technologies. SignAll translates sign language to English automatically. </w:t>
      </w:r>
      <w:r>
        <w:rPr>
          <w:rFonts w:ascii="Times New Roman" w:cs="Times New Roman" w:eastAsia="Times New Roman" w:hAnsi="Times New Roman"/>
          <w:i/>
          <w:iCs/>
          <w:sz w:val="24"/>
          <w:szCs w:val="24"/>
        </w:rPr>
        <w:t xml:space="preserve">PRWeb press release</w:t>
      </w:r>
      <w:r>
        <w:rPr>
          <w:rFonts w:ascii="Times New Roman" w:cs="Times New Roman" w:eastAsia="Times New Roman" w:hAnsi="Times New Roman"/>
          <w:sz w:val="24"/>
          <w:szCs w:val="24"/>
        </w:rPr>
        <w:t xml:space="preserve">, 2018. Available: https://www.prweb.com/releases/signall-translates-sign-language-to-english-automatically-868736288.html [Accessed: 25-Sep-2026].</w:t>
      </w:r>
    </w:p>
    <w:p>
      <w:pPr>
        <w:spacing w:after="120"/>
        <w:ind w:left="432" w:hanging="432"/>
      </w:pPr>
      <w:r>
        <w:rPr>
          <w:rFonts w:ascii="Times New Roman" w:cs="Times New Roman" w:eastAsia="Times New Roman" w:hAnsi="Times New Roman"/>
          <w:sz w:val="24"/>
          <w:szCs w:val="24"/>
        </w:rPr>
        <w:t xml:space="preserve">18.	Menefee, M., Nash, D., and Chandler, T. Automated sign language translation and communication using multiple input and output modalities.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10,489,639 B2, 2019.</w:t>
      </w:r>
    </w:p>
    <w:p>
      <w:pPr>
        <w:spacing w:after="120"/>
        <w:ind w:left="432" w:hanging="432"/>
      </w:pPr>
      <w:r>
        <w:rPr>
          <w:rFonts w:ascii="Times New Roman" w:cs="Times New Roman" w:eastAsia="Times New Roman" w:hAnsi="Times New Roman"/>
          <w:sz w:val="24"/>
          <w:szCs w:val="24"/>
        </w:rPr>
        <w:t xml:space="preserve">19.	Kelly, N. A. Realtime AI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2022/0327961 A1, 2022.</w:t>
      </w:r>
    </w:p>
    <w:p>
      <w:pPr>
        <w:spacing w:after="120"/>
        <w:ind w:left="432" w:hanging="432"/>
      </w:pPr>
      <w:r>
        <w:rPr>
          <w:rFonts w:ascii="Times New Roman" w:cs="Times New Roman" w:eastAsia="Times New Roman" w:hAnsi="Times New Roman"/>
          <w:sz w:val="24"/>
          <w:szCs w:val="24"/>
        </w:rPr>
        <w:t xml:space="preserve">20.	Zhou, Z., Menne, T., Li, K., Xu, K., Feng, Z., and Lee, C.-H. System and method for automated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2016/0307469 A1, 2016.</w:t>
      </w:r>
    </w:p>
    <w:p>
      <w:pPr>
        <w:spacing w:after="120"/>
        <w:ind w:left="432" w:hanging="432"/>
      </w:pPr>
      <w:r>
        <w:rPr>
          <w:rFonts w:ascii="Times New Roman" w:cs="Times New Roman" w:eastAsia="Times New Roman" w:hAnsi="Times New Roman"/>
          <w:sz w:val="24"/>
          <w:szCs w:val="24"/>
        </w:rPr>
        <w:t xml:space="preserve">21.	Sakou, H., Sagawa, H., Abe, M., Ichikawa, A., Inoue, K., Arai, K., Shimura, T., and Toda, Y. Sign recognition apparatus and method and sign translation system using same.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5,887,069, 1999.</w:t>
      </w:r>
    </w:p>
    <w:p>
      <w:pPr>
        <w:spacing w:after="120"/>
        <w:ind w:left="432" w:hanging="432"/>
      </w:pPr>
      <w:r>
        <w:rPr>
          <w:rFonts w:ascii="Times New Roman" w:cs="Times New Roman" w:eastAsia="Times New Roman" w:hAnsi="Times New Roman"/>
          <w:sz w:val="24"/>
          <w:szCs w:val="24"/>
        </w:rPr>
        <w:t xml:space="preserve">22.	U.S. Department of Justice, Civil Rights Division. ADA requirements: Effective communication. </w:t>
      </w:r>
      <w:r>
        <w:rPr>
          <w:rFonts w:ascii="Times New Roman" w:cs="Times New Roman" w:eastAsia="Times New Roman" w:hAnsi="Times New Roman"/>
          <w:i/>
          <w:iCs/>
          <w:sz w:val="24"/>
          <w:szCs w:val="24"/>
        </w:rPr>
        <w:t xml:space="preserve">ADA.gov</w:t>
      </w:r>
      <w:r>
        <w:rPr>
          <w:rFonts w:ascii="Times New Roman" w:cs="Times New Roman" w:eastAsia="Times New Roman" w:hAnsi="Times New Roman"/>
          <w:sz w:val="24"/>
          <w:szCs w:val="24"/>
        </w:rPr>
        <w:t xml:space="preserve">, 2020. Available: https://www.ada.gov/resources/effective-communication/ [Accessed: 01-Oct-2026].</w:t>
      </w:r>
    </w:p>
    <w:p>
      <w:pPr>
        <w:spacing w:after="120"/>
        <w:ind w:left="432" w:hanging="432"/>
      </w:pPr>
      <w:r>
        <w:rPr>
          <w:rFonts w:ascii="Times New Roman" w:cs="Times New Roman" w:eastAsia="Times New Roman" w:hAnsi="Times New Roman"/>
          <w:sz w:val="24"/>
          <w:szCs w:val="24"/>
        </w:rPr>
        <w:t xml:space="preserve">23.	IEEE. IEEE Code of Ethics. </w:t>
      </w:r>
      <w:r>
        <w:rPr>
          <w:rFonts w:ascii="Times New Roman" w:cs="Times New Roman" w:eastAsia="Times New Roman" w:hAnsi="Times New Roman"/>
          <w:i/>
          <w:iCs/>
          <w:sz w:val="24"/>
          <w:szCs w:val="24"/>
        </w:rPr>
        <w:t xml:space="preserve">IEEE Policies, Section 7.8</w:t>
      </w:r>
      <w:r>
        <w:rPr>
          <w:rFonts w:ascii="Times New Roman" w:cs="Times New Roman" w:eastAsia="Times New Roman" w:hAnsi="Times New Roman"/>
          <w:sz w:val="24"/>
          <w:szCs w:val="24"/>
        </w:rPr>
        <w:t xml:space="preserve">, 2020. Available: https://www.ieee.org/about/corporate/governance/p7-8.html [Accessed: 01-Oct-2026].</w:t>
      </w:r>
    </w:p>
    <w:sectPr w:rsidRPr="002F2C6E" w:rsidR="0043625C" w:rsidSect="00DA2774">
      <w:footerReference w:type="even" r:id="rId19"/>
      <w:footerReference w:type="default" r:id="rId20"/>
      <w:pgSz w:w="12240" w:h="15840" w:orient="portrait"/>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2461" w:rsidP="00A8598A" w:rsidRDefault="00092461" w14:paraId="0E08BCED" w14:textId="77777777">
      <w:r>
        <w:separator/>
      </w:r>
    </w:p>
  </w:endnote>
  <w:endnote w:type="continuationSeparator" w:id="0">
    <w:p w:rsidR="00092461" w:rsidP="00A8598A" w:rsidRDefault="00092461" w14:paraId="5EC0785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rsidR="00A8598A" w:rsidP="004F5177" w:rsidRDefault="00A8598A" w14:paraId="57B43532" w14:textId="69140D8D">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A8598A" w:rsidP="00A8598A" w:rsidRDefault="00A8598A" w14:paraId="5EC21BDF"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rsidR="004F5177" w:rsidRDefault="004F5177" w14:paraId="39BFD4F4" w14:textId="17E1BF0D">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A8598A" w:rsidP="00A8598A" w:rsidRDefault="00A8598A" w14:paraId="01F6C430" w14:textId="45CB85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2461" w:rsidP="00A8598A" w:rsidRDefault="00092461" w14:paraId="4A6DDD23" w14:textId="77777777">
      <w:r>
        <w:separator/>
      </w:r>
    </w:p>
  </w:footnote>
  <w:footnote w:type="continuationSeparator" w:id="0">
    <w:p w:rsidR="00092461" w:rsidP="00A8598A" w:rsidRDefault="00092461" w14:paraId="0D910EB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hint="default" w:ascii="Symbol" w:hAnsi="Symbol"/>
      </w:rPr>
    </w:lvl>
    <w:lvl w:ilvl="1" w:tplc="C3AC2DEA">
      <w:numFmt w:val="bullet"/>
      <w:lvlText w:val="•"/>
      <w:lvlJc w:val="left"/>
      <w:pPr>
        <w:ind w:left="1900" w:hanging="820"/>
      </w:pPr>
      <w:rPr>
        <w:rFonts w:hint="default" w:ascii="Times New Roman" w:hAnsi="Times New Roman" w:eastAsia="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778B7298"/>
    <w:multiLevelType w:val="hybridMultilevel"/>
    <w:tmpl w:val="DE529BB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5"/>
  </w:num>
  <w:num w:numId="5" w16cid:durableId="1851800280">
    <w:abstractNumId w:val="4"/>
  </w:num>
  <w:num w:numId="6" w16cid:durableId="1785735629">
    <w:abstractNumId w:val="6"/>
  </w:num>
  <w:num w:numId="7" w16cid:durableId="101098223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D4B91"/>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C601F6"/>
  <w15:docId w15:val="{8BC4317C-1EA7-4D2D-8785-E94B1EBA0E6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Normal"/>
    <w:qFormat/>
    <w:pPr>
      <w:keepNext/>
      <w:outlineLvl w:val="0"/>
    </w:pPr>
    <w:rPr>
      <w:sz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rPr>
      <w:sz w:val="24"/>
    </w:rPr>
  </w:style>
  <w:style w:type="character" w:styleId="Hyperlink">
    <w:name w:val="Hyperlink"/>
    <w:basedOn w:val="DefaultParagraphFont"/>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styleId="BalloonTextChar" w:customStyle="1">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styleId="FooterChar" w:customStyle="1">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styleId="HeaderChar" w:customStyle="1">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F21FA0"/>
    <w:pPr>
      <w:ind w:left="720"/>
      <w:contextualSpacing/>
    </w:pPr>
  </w:style>
  <w:style w:type="paragraph" w:styleId="IntroSection">
    <w:name w:val="Intro Section"/>
    <w:basedOn w:val="Normal"/>
    <w:next w:val="Normal"/>
    <w:qFormat/>
    <w:pPr>
      <w:outlineLvl w:val="0"/>
    </w:pPr>
    <w:rPr>
      <w:rFonts w:ascii="Times New Roman" w:cs="Times New Roman" w:eastAsia="Times New Roman" w:hAnsi="Times New Roman"/>
      <w:b/>
      <w:bCs/>
      <w:sz w:val="24"/>
      <w:szCs w:val="24"/>
    </w:rPr>
  </w:style>
  <w:style w:type="paragraph" w:styleId="IntroSubsection">
    <w:name w:val="Intro Subsection"/>
    <w:basedOn w:val="Normal"/>
    <w:next w:val="Normal"/>
    <w:qFormat/>
    <w:pPr>
      <w:outlineLvl w:val="1"/>
    </w:pPr>
    <w:rPr>
      <w:rFonts w:ascii="Times New Roman" w:cs="Times New Roman" w:eastAsia="Times New Roman" w:hAnsi="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en.wikipedia.org/wiki/Prototype" TargetMode="External" Id="rId13" /><Relationship Type="http://schemas.openxmlformats.org/officeDocument/2006/relationships/hyperlink" Target="https://en.wikipedia.org/wiki/Gantt_chart" TargetMode="Externa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webSettings" Target="webSettings.xml" Id="rId7" /><Relationship Type="http://schemas.openxmlformats.org/officeDocument/2006/relationships/hyperlink" Target="https://www.smartdraw.com/block-diagram/block-diagram-maker.htm" TargetMode="External" Id="rId12" /><Relationship Type="http://schemas.openxmlformats.org/officeDocument/2006/relationships/hyperlink" Target="https://en.wikipedia.org/wiki/Product_lifecycle" TargetMode="External" Id="rId17" /><Relationship Type="http://schemas.openxmlformats.org/officeDocument/2006/relationships/customXml" Target="../customXml/item2.xml" Id="rId2" /><Relationship Type="http://schemas.openxmlformats.org/officeDocument/2006/relationships/hyperlink" Target="https://scholar.google.com/" TargetMode="External"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standards.ieee.org/standard/index.html" TargetMode="External" Id="rId11" /><Relationship Type="http://schemas.openxmlformats.org/officeDocument/2006/relationships/styles" Target="styles.xml" Id="rId5" /><Relationship Type="http://schemas.openxmlformats.org/officeDocument/2006/relationships/hyperlink" Target="https://patents.google.com/" TargetMode="External" Id="rId15" /><Relationship Type="http://schemas.openxmlformats.org/officeDocument/2006/relationships/image" Target="media/image1.tiff" Id="rId10" /><Relationship Type="http://schemas.openxmlformats.org/officeDocument/2006/relationships/footer" Target="footer1.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en.wikipedia.org/wiki/Verification_and_validation" TargetMode="External" Id="rId14" /><Relationship Type="http://schemas.openxmlformats.org/officeDocument/2006/relationships/theme" Target="theme/theme1.xml" Id="rId22" /><Relationship Id="rIdIntro1" Type="http://schemas.openxmlformats.org/officeDocument/2006/relationships/image" Target="media/intro_f6f3c97774a9602dd969cbd6955aaf03f8cb7cd1.png"/><Relationship Id="rIdIntro2" Type="http://schemas.openxmlformats.org/officeDocument/2006/relationships/image" Target="media/intro_01882ecebf880255b926e06dd36b1028212d8969.png"/><Relationship Id="rIdIntro3" Type="http://schemas.openxmlformats.org/officeDocument/2006/relationships/image" Target="media/intro_13ec56ffd761c27edcc0942009e889668ecc8c1f.png"/><Relationship Id="rIdIntro4" Type="http://schemas.openxmlformats.org/officeDocument/2006/relationships/image" Target="media/intro_4335933d2efb8af0d2596ebf638391372acc69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3.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NJIT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CoE 414 Senior Design Project Proposal</dc:title>
  <dc:subject/>
  <dc:creator>dhawan</dc:creator>
  <keywords/>
  <dc:description/>
  <lastModifiedBy>Hasanova, Asmar</lastModifiedBy>
  <revision>72</revision>
  <dcterms:created xsi:type="dcterms:W3CDTF">2026-09-23T22:34:00.0000000Z</dcterms:created>
  <dcterms:modified xsi:type="dcterms:W3CDTF">2026-09-24T23:00:45.8261805Z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