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3. Introduction</w:t>
      </w:r>
    </w:p>
    <w:p>
      <w:pPr>
        <w:spacing w:after="0" w:line="480"/>
        <w:ind w:firstLine="720"/>
      </w:pPr>
      <w:r>
        <w:t xml:space="preserve">American Sign Language (ASL) is a complete natural language with its own grammar and vocabulary, distinct from English, and it is the primary language of about 500,000 Deaf and hard-of-hearing people in the United States [1]. When a Deaf ASL user needs to communicate with a hearing person who does not sign, a certified interpreter is usually needed, but one is often unavailable. In a survey of 32 U.S. Deaf and hard-of-hearing ASL users, this unmet need was most frequent in medical settings, followed by professional and educational settings [1]. Interpreters are costly and can take hours to arrive, especially in rural areas or at short notice [1]. Automatic translation could help fill this gap.</w:t>
      </w:r>
    </w:p>
    <w:p>
      <w:pPr>
        <w:spacing w:after="0" w:line="480"/>
        <w:ind w:firstLine="720"/>
      </w:pPr>
      <w:r>
        <w:t xml:space="preserve">Automatic sign language processing has advanced quickly, but no system yet translates ASL reliably enough for general real-world use [1]. Research is divided into two tasks. </w:t>
      </w:r>
      <w:r>
        <w:rPr>
          <w:i/>
          <w:iCs/>
        </w:rPr>
        <w:t xml:space="preserve">Isolated sign language recognition</w:t>
      </w:r>
      <w:r>
        <w:t xml:space="preserve"> (ISLR) identifies a single sign from a fixed vocabulary. On the ASL Citizen dataset, which contains 83,399 videos of 2,731 signs from 52 signers, the best published baseline reaches 63.1% top-1 accuracy on signers not seen during training [2]. </w:t>
      </w:r>
      <w:r>
        <w:rPr>
          <w:i/>
          <w:iCs/>
        </w:rPr>
        <w:t xml:space="preserve">Sign language translation</w:t>
      </w:r>
      <w:r>
        <w:t xml:space="preserve"> (SLT) converts continuous signing into full sentences. SLT models have traditionally been trained on </w:t>
      </w:r>
      <w:r>
        <w:rPr>
          <w:i/>
          <w:iCs/>
        </w:rPr>
        <w:t xml:space="preserve">glosses</w:t>
      </w:r>
      <w:r>
        <w:t xml:space="preserve">, written labels for each sign in a sentence, which are expensive to annotate and scarce for ASL [3].</w:t>
      </w:r>
    </w:p>
    <w:p>
      <w:pPr>
        <w:spacing w:after="0" w:line="480"/>
        <w:ind w:firstLine="720"/>
      </w:pPr>
      <w:r>
        <w:t xml:space="preserve">Recent research is therefore moving toward gloss-free and self-supervised models. SignDino, for example, learns sign representations from video without any gloss or text labels [4]. A parallel trend is lightweight models that work on body and hand landmarks extracted by tools such as MediaPipe [5], rather than on full video frames, which makes them small and fast enough for embedded hardware. The winning solution of the Google – Isolated Sign Language Recognition competition on Kaggle, a 1D convolutional network combined with a transformer, is one example [6].</w:t>
      </w:r>
    </w:p>
    <w:p>
      <w:pPr>
        <w:spacing w:after="0" w:line="480"/>
        <w:ind w:firstLine="720"/>
      </w:pPr>
      <w:r>
        <w:t xml:space="preserve">Because gloss-free continuous translation still requires large models and datasets, our project uses landmark-based isolated recognition over a limited vocabulary. This approach runs offline on an embedded GPU, can be evaluated sign by sign, and produces confidence scores that the device can use to abstain rather than guess.</w:t>
      </w:r>
    </w:p>
    <w:p>
      <w:pPr>
        <w:spacing w:after="0" w:line="480"/>
        <w:ind w:firstLine="720"/>
      </w:pPr>
      <w:r>
        <w:t xml:space="preserve">Existing automated approaches also have three practical weaknesses. First, they typically output a translation even when uncertain, and a wrong translation can be worse than none, especially in high-stakes settings. Second, cloud-based systems need a reliable internet connection and stream video of the user to remote servers, which raises privacy concerns. Third, most are one-way: they convert signing to text but give the hearing person no way to reply without a second device.</w:t>
      </w:r>
    </w:p>
    <w:p>
      <w:pPr>
        <w:spacing w:after="0" w:line="480"/>
        <w:ind w:firstLine="720"/>
      </w:pPr>
      <w:r>
        <w:t xml:space="preserve">Our device addresses each of these weaknesses. All processing runs locally on an embedded GPU, so the device works without a network connection and no video leaves it. A built-in microphone converts the hearing person's speech to on-screen text, so a single device supports a two-way conversation. The device speaks a sentence only after the user confirms it on screen, and when its confidence is low it shows a list of candidate signs instead of guessing. The device is intended to provide access when an interpreter is unavailable, such as at a service counter, a front desk, or while waiting for an interpreter to arrive. It is not a replacement for certified interpreters.</w:t>
      </w:r>
    </w:p>
    <w:p>
      <w:pPr>
        <w:spacing w:after="0" w:line="480"/>
        <w:ind w:firstLine="720"/>
      </w:pPr>
      <w:r>
        <w:t xml:space="preserve">The objective of this project is to build a portable, fully offline prototype that lets a Deaf ASL user hold a short two-way conversation with a hearing person who speaks English, Turkish or Spanish, in structured settings such as a service counter or front desk. The prototype targets a vocabulary of 100–250 signs, with at least 75% top-1 and 90% top-5 accuracy on signers not seen during training, and speech output within 1.2 s of the user's confirmation. Just as important, the device should abstain rather than voice a translation it is not confident in.</w:t>
      </w:r>
    </w:p>
    <w:p>
      <w:pPr>
        <w:spacing w:after="0" w:line="480"/>
        <w:ind w:firstLine="720"/>
      </w:pPr>
      <w:r>
        <w:t xml:space="preserve">Figure 1 shows the system. MediaPipe [5] extracts body and hand landmarks from the camera image. Because automatically segmenting continuous signing is still an open research problem [7], the user signs one sign at a time, with a rest pose in between. A lightweight landmark model based on [6] and trained on ASL Citizen [2] returns the five most likely signs with confidence scores. A sentence builder turns the signs into English, using templates with a small language model as a fallback [8]. After the user confirms the sentence on the touchscreen, NLLB-200 [9] translates it and Piper [10] speaks it. For the reply, Whisper [11] converts the hearing person's speech into English text on the same screen.</w:t>
      </w:r>
    </w:p>
    <w:p>
      <w:pPr>
        <w:spacing w:after="60" w:before="240"/>
        <w:jc w:val="center"/>
      </w:pPr>
      <w:r>
        <w:drawing>
          <wp:inline distT="0" distB="0" distL="0" distR="0">
            <wp:extent cx="5943600" cy="2676525"/>
            <wp:effectExtent t="0" r="0" b="0" l="0"/>
            <wp:docPr id="1" name="fig1_block_diagram.png" descr="Figure 1. System block diagram. Top: the sign-to-speech path; bottom: the reply path. The touchscreen faces the Deaf user and is used both to confirm sentences and to read replies. All processing runs on the embedded GPU without a network connection; the confidence check inside the recognizer is shown in Figure 2." title="Figure 1. System block diagram. Top: the sign-to-speech path; bottom: the reply path. The touchscreen faces the Deaf user and is used both to confirm sentences and to read replies. All processing runs on the embedded GPU without a network connection; the confidence check inside the recognizer is shown in 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676525"/>
                    </a:xfrm>
                    <a:prstGeom prst="rect">
                      <a:avLst/>
                    </a:prstGeom>
                  </pic:spPr>
                </pic:pic>
              </a:graphicData>
            </a:graphic>
          </wp:inline>
        </w:drawing>
      </w:r>
    </w:p>
    <w:p>
      <w:pPr>
        <w:spacing w:after="240"/>
        <w:jc w:val="center"/>
      </w:pPr>
      <w:r>
        <w:rPr>
          <w:b/>
          <w:bCs/>
          <w:sz w:val="20"/>
          <w:szCs w:val="20"/>
        </w:rPr>
        <w:t xml:space="preserve">Figure 1. </w:t>
      </w:r>
      <w:r>
        <w:rPr>
          <w:sz w:val="20"/>
          <w:szCs w:val="20"/>
        </w:rPr>
        <w:t xml:space="preserve">System block diagram. Top: the sign-to-speech path; bottom: the reply path. The touchscreen faces the Deaf user and is used both to confirm sentences and to read replies. All processing runs on the embedded GPU without a network connection; the confidence check inside the recognizer is shown in Figure 2.</w:t>
      </w:r>
    </w:p>
    <w:p>
      <w:pPr>
        <w:spacing w:after="0" w:line="480"/>
        <w:ind w:firstLine="720"/>
      </w:pPr>
      <w:r>
        <w:t xml:space="preserve">Figure 2 shows when the device speaks. A sign whose confidence is above a threshold is accepted; otherwise the user picks from the top five candidates or signs again. This follows selective prediction, in which a model abstains on uncertain inputs to raise accuracy on the answers it gives [12].</w:t>
      </w:r>
    </w:p>
    <w:p>
      <w:pPr>
        <w:spacing w:after="60" w:before="240"/>
        <w:jc w:val="center"/>
      </w:pPr>
      <w:r>
        <w:drawing>
          <wp:inline distT="0" distB="0" distL="0" distR="0">
            <wp:extent cx="5486400" cy="3028950"/>
            <wp:effectExtent t="0" r="0" b="0" l="0"/>
            <wp:docPr id="1" name="fig2_decision_flow.png" descr="Figure 2. Decision flow for confidence-gated output. Nothing is spoken until the user confirms the English sentence." title="Figure 2. Decision flow for confidence-gated output. Nothing is spoken until the user confirms the English sent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028950"/>
                    </a:xfrm>
                    <a:prstGeom prst="rect">
                      <a:avLst/>
                    </a:prstGeom>
                  </pic:spPr>
                </pic:pic>
              </a:graphicData>
            </a:graphic>
          </wp:inline>
        </w:drawing>
      </w:r>
    </w:p>
    <w:p>
      <w:pPr>
        <w:spacing w:after="240"/>
        <w:jc w:val="center"/>
      </w:pPr>
      <w:r>
        <w:rPr>
          <w:b/>
          <w:bCs/>
          <w:sz w:val="20"/>
          <w:szCs w:val="20"/>
        </w:rPr>
        <w:t xml:space="preserve">Figure 2. </w:t>
      </w:r>
      <w:r>
        <w:rPr>
          <w:sz w:val="20"/>
          <w:szCs w:val="20"/>
        </w:rPr>
        <w:t xml:space="preserve">Decision flow for confidence-gated output. Nothing is spoken until the user confirms the English sentence.</w:t>
      </w:r>
    </w:p>
    <w:p>
      <w:pPr>
        <w:spacing w:after="0" w:line="480"/>
        <w:ind w:firstLine="720"/>
      </w:pPr>
      <w:r>
        <w:t xml:space="preserve">Beyond the shift toward gloss-free models [4], [8], two trends matter most for this project. Recognition models are moving onto phones and embedded hardware, which makes offline, private devices practical [5], [6]. And the field increasingly calls for sign language technology to be designed with Deaf communities and around specific real-world uses [13], [14].</w:t>
      </w:r>
    </w:p>
    <w:p>
      <w:pPr>
        <w:spacing w:after="0" w:line="480"/>
        <w:ind w:firstLine="720"/>
      </w:pPr>
      <w:r>
        <w:t xml:space="preserve">No automatic ASL translation system is yet reliable enough for general use [1]. SignAll, the best-known commercial effort, uses multiple cameras to translate ASL into English text [15]. Patented approaches (Table 1) include multiple cameras with depth sensing [16], single-camera recognition in the cloud [17] and sensor gloves [18], [19]. The closest to our design, [17], also lets users choose from a menu of likely translations, but it depends on a cloud connection. Our device combines single-camera input, fully offline processing, confidence-gated output and speech in several languages, in a stand-alone form that 69% of surveyed Deaf users were comfortable using (Figure 3) [1].</w:t>
      </w:r>
    </w:p>
    <w:p>
      <w:pPr>
        <w:spacing w:after="120" w:before="240"/>
        <w:jc w:val="center"/>
      </w:pPr>
      <w:r>
        <w:rPr>
          <w:b/>
          <w:bCs/>
          <w:sz w:val="20"/>
          <w:szCs w:val="20"/>
        </w:rPr>
        <w:t xml:space="preserve">Table 1. </w:t>
      </w:r>
      <w:r>
        <w:rPr>
          <w:sz w:val="20"/>
          <w:szCs w:val="20"/>
        </w:rPr>
        <w:t xml:space="preserve">Comparison of patented sign language translation systems with the proposed device.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900"/>
        <w:gridCol w:w="3660"/>
      </w:tblGrid>
      <w:tr>
        <w:trPr>
          <w:tblHeader/>
        </w:trPr>
        <w:tc>
          <w:tcPr>
            <w:tcW w:type="dxa" w:w="17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System</w:t>
            </w:r>
          </w:p>
        </w:tc>
        <w:tc>
          <w:tcPr>
            <w:tcW w:type="dxa" w:w="21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Input</w:t>
            </w:r>
          </w:p>
        </w:tc>
        <w:tc>
          <w:tcPr>
            <w:tcW w:type="dxa" w:w="19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Processing</w:t>
            </w:r>
          </w:p>
        </w:tc>
        <w:tc>
          <w:tcPr>
            <w:tcW w:type="dxa" w:w="36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sz w:val="20"/>
                <w:szCs w:val="20"/>
              </w:rPr>
              <w:t xml:space="preserve">Output</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Avodah [16]</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Multiple cameras and a depth sensor</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On device and in the cloud</w:t>
            </w:r>
          </w:p>
        </w:tc>
        <w:tc>
          <w:tcPr>
            <w:tcW w:type="dxa" w:w="3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Text, speech or a signing avatar; two-way</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Sign-Speak [17]</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Single camera</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Cloud (requires WiFi)</w:t>
            </w:r>
          </w:p>
        </w:tc>
        <w:tc>
          <w:tcPr>
            <w:tcW w:type="dxa" w:w="3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Text in a target language; optional menu of the three most likely translations</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Bosch [18]</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Gloves with motion sensors</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External processor</w:t>
            </w:r>
          </w:p>
        </w:tc>
        <w:tc>
          <w:tcPr>
            <w:tcW w:type="dxa" w:w="3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Text or audio in one or more languages</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Hitachi [19] (expired)</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Data gloves or camera</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Local computer</w:t>
            </w:r>
          </w:p>
        </w:tc>
        <w:tc>
          <w:tcPr>
            <w:tcW w:type="dxa" w:w="36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Text or synthesized speech</w:t>
            </w:r>
          </w:p>
        </w:tc>
      </w:tr>
      <w:tr>
        <w:trPr>
          <w:tblHeader w:val="false"/>
        </w:trPr>
        <w:tc>
          <w:tcPr>
            <w:tcW w:type="dxa" w:w="1700"/>
            <w:tcBorders>
              <w:top w:val="single" w:color="808080" w:sz="4"/>
              <w:left w:val="single" w:color="808080" w:sz="4"/>
              <w:bottom w:val="single" w:color="808080" w:sz="4"/>
              <w:right w:val="single" w:color="808080" w:sz="4"/>
            </w:tcBorders>
            <w:shd w:fill="E3EEFB" w:color="auto" w:val="clear"/>
            <w:tcMar>
              <w:top w:type="dxa" w:w="60"/>
              <w:left w:type="dxa" w:w="100"/>
              <w:bottom w:type="dxa" w:w="60"/>
              <w:right w:type="dxa" w:w="100"/>
            </w:tcMar>
          </w:tcPr>
          <w:p>
            <w:r>
              <w:rPr>
                <w:b/>
                <w:bCs/>
                <w:sz w:val="20"/>
                <w:szCs w:val="20"/>
              </w:rPr>
              <w:t xml:space="preserve">Proposed device</w:t>
            </w:r>
          </w:p>
        </w:tc>
        <w:tc>
          <w:tcPr>
            <w:tcW w:type="dxa" w:w="2100"/>
            <w:tcBorders>
              <w:top w:val="single" w:color="808080" w:sz="4"/>
              <w:left w:val="single" w:color="808080" w:sz="4"/>
              <w:bottom w:val="single" w:color="808080" w:sz="4"/>
              <w:right w:val="single" w:color="808080" w:sz="4"/>
            </w:tcBorders>
            <w:shd w:fill="E3EEFB" w:color="auto" w:val="clear"/>
            <w:tcMar>
              <w:top w:type="dxa" w:w="60"/>
              <w:left w:type="dxa" w:w="100"/>
              <w:bottom w:type="dxa" w:w="60"/>
              <w:right w:type="dxa" w:w="100"/>
            </w:tcMar>
          </w:tcPr>
          <w:p>
            <w:r>
              <w:rPr>
                <w:b/>
                <w:bCs/>
                <w:sz w:val="20"/>
                <w:szCs w:val="20"/>
              </w:rPr>
              <w:t xml:space="preserve">Single RGB camera and microphone</w:t>
            </w:r>
          </w:p>
        </w:tc>
        <w:tc>
          <w:tcPr>
            <w:tcW w:type="dxa" w:w="1900"/>
            <w:tcBorders>
              <w:top w:val="single" w:color="808080" w:sz="4"/>
              <w:left w:val="single" w:color="808080" w:sz="4"/>
              <w:bottom w:val="single" w:color="808080" w:sz="4"/>
              <w:right w:val="single" w:color="808080" w:sz="4"/>
            </w:tcBorders>
            <w:shd w:fill="E3EEFB" w:color="auto" w:val="clear"/>
            <w:tcMar>
              <w:top w:type="dxa" w:w="60"/>
              <w:left w:type="dxa" w:w="100"/>
              <w:bottom w:type="dxa" w:w="60"/>
              <w:right w:type="dxa" w:w="100"/>
            </w:tcMar>
          </w:tcPr>
          <w:p>
            <w:r>
              <w:rPr>
                <w:b/>
                <w:bCs/>
                <w:sz w:val="20"/>
                <w:szCs w:val="20"/>
              </w:rPr>
              <w:t xml:space="preserve">On device, fully offline</w:t>
            </w:r>
          </w:p>
        </w:tc>
        <w:tc>
          <w:tcPr>
            <w:tcW w:type="dxa" w:w="3660"/>
            <w:tcBorders>
              <w:top w:val="single" w:color="808080" w:sz="4"/>
              <w:left w:val="single" w:color="808080" w:sz="4"/>
              <w:bottom w:val="single" w:color="808080" w:sz="4"/>
              <w:right w:val="single" w:color="808080" w:sz="4"/>
            </w:tcBorders>
            <w:shd w:fill="E3EEFB" w:color="auto" w:val="clear"/>
            <w:tcMar>
              <w:top w:type="dxa" w:w="60"/>
              <w:left w:type="dxa" w:w="100"/>
              <w:bottom w:type="dxa" w:w="60"/>
              <w:right w:type="dxa" w:w="100"/>
            </w:tcMar>
          </w:tcPr>
          <w:p>
            <w:r>
              <w:rPr>
                <w:b/>
                <w:bCs/>
                <w:sz w:val="20"/>
                <w:szCs w:val="20"/>
              </w:rPr>
              <w:t xml:space="preserve">Speech in English, Turkish or Spanish after user confirmation; reply shown as English text</w:t>
            </w:r>
          </w:p>
        </w:tc>
      </w:tr>
    </w:tbl>
    <w:p>
      <w:pPr>
        <w:spacing w:after="240"/>
      </w:pPr>
    </w:p>
    <w:p>
      <w:pPr>
        <w:spacing w:after="60" w:before="240"/>
        <w:jc w:val="center"/>
      </w:pPr>
      <w:r>
        <w:drawing>
          <wp:inline distT="0" distB="0" distL="0" distR="0">
            <wp:extent cx="5029200" cy="1981200"/>
            <wp:effectExtent t="0" r="0" b="0" l="0"/>
            <wp:docPr id="1" name="fig3_hardware_preferences.png" descr="Figure 3. Hardware form factors that Deaf and hard-of-hearing survey participants were comfortable using (n = 32). Data from Tran et al. [1]." title="Figure 3. Hardware form factors that Deaf and hard-of-hearing survey participants were comfortable using (n = 32). Data from Tran et a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29200" cy="1981200"/>
                    </a:xfrm>
                    <a:prstGeom prst="rect">
                      <a:avLst/>
                    </a:prstGeom>
                  </pic:spPr>
                </pic:pic>
              </a:graphicData>
            </a:graphic>
          </wp:inline>
        </w:drawing>
      </w:r>
    </w:p>
    <w:p>
      <w:pPr>
        <w:spacing w:after="240"/>
        <w:jc w:val="center"/>
      </w:pPr>
      <w:r>
        <w:rPr>
          <w:b/>
          <w:bCs/>
          <w:sz w:val="20"/>
          <w:szCs w:val="20"/>
        </w:rPr>
        <w:t xml:space="preserve">Figure 3. </w:t>
      </w:r>
      <w:r>
        <w:rPr>
          <w:sz w:val="20"/>
          <w:szCs w:val="20"/>
        </w:rPr>
        <w:t xml:space="preserve">Hardware form factors that Deaf and hard-of-hearing survey participants were comfortable using (n = 32). Data from Tran et al. [1].</w:t>
      </w:r>
    </w:p>
    <w:p>
      <w:pPr>
        <w:spacing w:after="0" w:line="480"/>
        <w:ind w:firstLine="720"/>
      </w:pPr>
      <w:r>
        <w:t xml:space="preserve">The same survey found that most Deaf participants were concerned about hearing people profiting from ASL, systems missing ASL grammar, automatic translation weakening the right to an interpreter, and unequal performance across users [1]. We therefore present the device as an aid for when no interpreter is available, not a substitute; state its limits plainly; report accuracy for each test signer; involve Deaf ASL users in choosing the vocabulary and in testing [13], [14]; and keep all video on the device.</w:t>
      </w:r>
    </w:p>
    <w:p>
      <w:pPr>
        <w:spacing w:after="0" w:line="480"/>
        <w:ind w:firstLine="720"/>
      </w:pPr>
      <w:r>
        <w:t xml:space="preserve">Interpreters are costly and often must be booked in advance [1], whereas our device uses off-the-shelf hardware and open-source models, with no per-use or cloud costs once built. Its low-power embedded module avoids cloud computing, and its standard parts can be repaired or upgraded instead of discarded.</w:t>
      </w:r>
    </w:p>
    <w:p>
      <w:pPr>
        <w:spacing w:after="0" w:line="480"/>
        <w:ind w:firstLine="720"/>
      </w:pPr>
      <w:r>
        <w:rPr>
          <w:i/>
          <w:iCs/>
          <w:color w:val="808080"/>
        </w:rPr>
        <w:t xml:space="preserve">[Add a cross-reference to the budget section once it is written.]</w:t>
      </w:r>
    </w:p>
    <w:p>
      <w:pPr>
        <w:pStyle w:val="Heading1"/>
        <w:spacing w:after="120" w:before="480"/>
      </w:pPr>
      <w:r>
        <w:t xml:space="preserve">References</w:t>
      </w:r>
    </w:p>
    <w:p>
      <w:pPr>
        <w:spacing w:after="0" w:line="480"/>
        <w:ind w:firstLine="720"/>
      </w:pPr>
      <w:r>
        <w:rPr>
          <w:i/>
          <w:iCs/>
          <w:color w:val="808080"/>
        </w:rPr>
        <w:t xml:space="preserve">[Move this list to Section 12 in the final report.]</w:t>
      </w:r>
    </w:p>
    <w:p>
      <w:pPr>
        <w:spacing w:after="120"/>
        <w:ind w:left="720" w:hanging="720"/>
      </w:pPr>
      <w:r>
        <w:t xml:space="preserve">[1]	N. Tran, R. E. Ladner, and D. Bragg, “U.S. Deaf community perspectives on automatic sign language translation,” in Proc. 25th Int. ACM SIGACCESS Conf. Computers and Accessibility (ASSETS ’23), New York, NY, USA, 2023, doi: 10.1145/3597638.3614507.</w:t>
      </w:r>
    </w:p>
    <w:p>
      <w:pPr>
        <w:spacing w:after="120"/>
        <w:ind w:left="720" w:hanging="720"/>
      </w:pPr>
      <w:r>
        <w:t xml:space="preserve">[2]	A. Desai et al., “ASL Citizen: A community-sourced dataset for advancing isolated sign language recognition,” in Advances in Neural Information Processing Systems (NeurIPS) Datasets and Benchmarks Track, 2023, arXiv:2304.05934.</w:t>
      </w:r>
    </w:p>
    <w:p>
      <w:pPr>
        <w:spacing w:after="120"/>
        <w:ind w:left="720" w:hanging="720"/>
      </w:pPr>
      <w:r>
        <w:t xml:space="preserve">[3]	X. Zhang and K. Duh, “Improving sign language gloss translation with low-resource machine translation techniques.” [Online]. Available: https://www.cs.jhu.edu/~xzhan138/papers/SLMT_Book_G2T.pdf</w:t>
      </w:r>
    </w:p>
    <w:p>
      <w:pPr>
        <w:spacing w:after="120"/>
        <w:ind w:left="720" w:hanging="720"/>
      </w:pPr>
      <w:r>
        <w:t xml:space="preserve">[4]	J. Hu, Z. He, H. Huang, Z. Li, Z. Li, and Y. Fang, “SignDino: Self-supervised sign language representation learning via temporal-axis self-distillation,” 2026, arXiv:2609.06296.</w:t>
      </w:r>
    </w:p>
    <w:p>
      <w:pPr>
        <w:spacing w:after="120"/>
        <w:ind w:left="720" w:hanging="720"/>
      </w:pPr>
      <w:r>
        <w:t xml:space="preserve">[5]	C. Lugaresi et al., “MediaPipe: A framework for building perception pipelines,” 2019, arXiv:1906.08172.</w:t>
      </w:r>
    </w:p>
    <w:p>
      <w:pPr>
        <w:spacing w:after="120"/>
        <w:ind w:left="720" w:hanging="720"/>
      </w:pPr>
      <w:r>
        <w:t xml:space="preserve">[6]	H. Sohn, “1st place solution – 1DCNN combined with Transformer,” Google – Isolated Sign Language Recognition competition, Kaggle, 2023. [Online]. Available: https://www.kaggle.com/competitions/asl-signs/writeups/hoyeol-sohn-1st-place-solution-1dcnn-combined-with</w:t>
      </w:r>
    </w:p>
    <w:p>
      <w:pPr>
        <w:spacing w:after="120"/>
        <w:ind w:left="720" w:hanging="720"/>
      </w:pPr>
      <w:r>
        <w:t xml:space="preserve">[7]	A. Moryossef, Z. Jiang, M. Müller, S. Ebling, and Y. Goldberg, “Linguistically motivated sign language segmentation,” in Findings of the Association for Computational Linguistics: EMNLP 2023, arXiv:2310.13960.</w:t>
      </w:r>
    </w:p>
    <w:p>
      <w:pPr>
        <w:spacing w:after="120"/>
        <w:ind w:left="720" w:hanging="720"/>
      </w:pPr>
      <w:r>
        <w:t xml:space="preserve">[8]	P. Fayyazsanavi, A. Anastasopoulos, and J. Košecká, “Gloss2Text: Sign language gloss translation using LLMs and semantically aware label smoothing,” 2024, arXiv:2407.01394.</w:t>
      </w:r>
    </w:p>
    <w:p>
      <w:pPr>
        <w:spacing w:after="120"/>
        <w:ind w:left="720" w:hanging="720"/>
      </w:pPr>
      <w:r>
        <w:t xml:space="preserve">[9]	NLLB Team et al., “No Language Left Behind: Scaling human-centered machine translation,” 2022, arXiv:2207.04672.</w:t>
      </w:r>
    </w:p>
    <w:p>
      <w:pPr>
        <w:spacing w:after="120"/>
        <w:ind w:left="720" w:hanging="720"/>
      </w:pPr>
      <w:r>
        <w:t xml:space="preserve">[10]	Rhasspy, “Piper: A fast, local neural text to speech system.” [Online]. Available: https://github.com/rhasspy/piper</w:t>
      </w:r>
    </w:p>
    <w:p>
      <w:pPr>
        <w:spacing w:after="120"/>
        <w:ind w:left="720" w:hanging="720"/>
      </w:pPr>
      <w:r>
        <w:t xml:space="preserve">[11]	A. Radford, J. W. Kim, T. Xu, G. Brockman, C. McLeavey, and I. Sutskever, “Robust speech recognition via large-scale weak supervision,” 2022, arXiv:2212.04356.</w:t>
      </w:r>
    </w:p>
    <w:p>
      <w:pPr>
        <w:spacing w:after="120"/>
        <w:ind w:left="720" w:hanging="720"/>
      </w:pPr>
      <w:r>
        <w:t xml:space="preserve">[12]	J. Traub et al., “Overcoming common flaws in the evaluation of selective classification systems,” 2024, arXiv:2407.01032.</w:t>
      </w:r>
    </w:p>
    <w:p>
      <w:pPr>
        <w:spacing w:after="120"/>
        <w:ind w:left="720" w:hanging="720"/>
      </w:pPr>
      <w:r>
        <w:t xml:space="preserve">[13]	D. Bragg et al., “Sign language recognition, generation, and translation: An interdisciplinary perspective,” in Proc. 21st Int. ACM SIGACCESS Conf. Computers and Accessibility (ASSETS ’19), 2019, pp. 16–31, doi: 10.1145/3308561.3353774.</w:t>
      </w:r>
    </w:p>
    <w:p>
      <w:pPr>
        <w:spacing w:after="120"/>
        <w:ind w:left="720" w:hanging="720"/>
      </w:pPr>
      <w:r>
        <w:t xml:space="preserve">[14]	K. Atwell, S. Imai, D. Bragg, and M. Alikhani, “‘Nothing about us without us’: Perspectives of global Deaf and hard-of-hearing community members on sign language technologies,” 2025, arXiv:2512.08839.</w:t>
      </w:r>
    </w:p>
    <w:p>
      <w:pPr>
        <w:spacing w:after="120"/>
        <w:ind w:left="720" w:hanging="720"/>
      </w:pPr>
      <w:r>
        <w:t xml:space="preserve">[15]	SignAll, “SignAll translates sign language to English automatically,” PRWeb. [Online]. Available: https://www.prweb.com/releases/signall-translates-sign-language-to-english-automatically-868736288.html</w:t>
      </w:r>
    </w:p>
    <w:p>
      <w:pPr>
        <w:spacing w:after="120"/>
        <w:ind w:left="720" w:hanging="720"/>
      </w:pPr>
      <w:r>
        <w:t xml:space="preserve">[16]	M. Menefee, D. Nash, and T. Chandler, “Automated sign language translation and communication using multiple input and output modalities,” U.S. Patent 10 489 639 B2, Nov. 26, 2019.</w:t>
      </w:r>
    </w:p>
    <w:p>
      <w:pPr>
        <w:spacing w:after="120"/>
        <w:ind w:left="720" w:hanging="720"/>
      </w:pPr>
      <w:r>
        <w:t xml:space="preserve">[17]	N. A. Kelly, “Realtime AI sign language recognition,” U.S. Patent Appl. Pub. 2022/0327961 A1, Oct. 13, 2022.</w:t>
      </w:r>
    </w:p>
    <w:p>
      <w:pPr>
        <w:spacing w:after="120"/>
        <w:ind w:left="720" w:hanging="720"/>
      </w:pPr>
      <w:r>
        <w:t xml:space="preserve">[18]	Z. Zhou et al., “System and method for automated sign language recognition,” U.S. Patent Appl. Pub. 2016/0307469 A1, Oct. 20, 2016.</w:t>
      </w:r>
    </w:p>
    <w:p>
      <w:pPr>
        <w:spacing w:after="120"/>
        <w:ind w:left="720" w:hanging="720"/>
      </w:pPr>
      <w:r>
        <w:t xml:space="preserve">[19]	H. Sakou et al., “Sign recognition apparatus and method and sign translation system using same,” U.S. Patent 5 887 069, Mar. 23, 1999.</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16d1ec91c46f079fd0758adb4a5feb4546c1063.png"/><Relationship Id="rId8" Type="http://schemas.openxmlformats.org/officeDocument/2006/relationships/image" Target="media/fe38d32d813e544e742456374dce1e8e1b234c01.png"/><Relationship Id="rId9" Type="http://schemas.openxmlformats.org/officeDocument/2006/relationships/image" Target="media/2f8f4f60ba5b6065a1215a5c51d58c0fe791b4e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2026-09-25T01:04:27.549Z</dcterms:created>
  <dcterms:modified xsi:type="dcterms:W3CDTF">2026-09-25T01:04:27.554Z</dcterms:modified>
</cp:coreProperties>
</file>

<file path=docProps/custom.xml><?xml version="1.0" encoding="utf-8"?>
<Properties xmlns="http://schemas.openxmlformats.org/officeDocument/2006/custom-properties" xmlns:vt="http://schemas.openxmlformats.org/officeDocument/2006/docPropsVTypes"/>
</file>