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3. Introduction</w:t>
      </w:r>
    </w:p>
    <w:p>
      <w:pPr>
        <w:spacing w:after="0" w:line="480"/>
        <w:ind w:firstLine="720"/>
      </w:pPr>
      <w:r>
        <w:t xml:space="preserve">Automatic sign language processing has advanced quickly, but no system yet translates American Sign Language (ASL) reliably enough for general real-world use [1]. Research is divided into two tasks. </w:t>
      </w:r>
      <w:r>
        <w:rPr>
          <w:b w:val="false"/>
          <w:bCs w:val="false"/>
          <w:i/>
          <w:iCs/>
        </w:rPr>
        <w:t xml:space="preserve">Isolated sign language recognition</w:t>
      </w:r>
      <w:r>
        <w:t xml:space="preserve"> (ISLR) identifies a single sign from a fixed vocabulary. On the ASL Citizen dataset, which contains 83,399 videos of 2,731 signs from 52 signers, the best published baseline reaches 63.1% top-1 accuracy on signers not seen during training [2]. </w:t>
      </w:r>
      <w:r>
        <w:rPr>
          <w:b w:val="false"/>
          <w:bCs w:val="false"/>
          <w:i/>
          <w:iCs/>
        </w:rPr>
        <w:t xml:space="preserve">Sign language translation</w:t>
      </w:r>
      <w:r>
        <w:t xml:space="preserve"> (SLT) converts continuous signing into full sentences. SLT models have traditionally been trained on </w:t>
      </w:r>
      <w:r>
        <w:rPr>
          <w:b w:val="false"/>
          <w:bCs w:val="false"/>
          <w:i/>
          <w:iCs/>
        </w:rPr>
        <w:t xml:space="preserve">glosses</w:t>
      </w:r>
      <w:r>
        <w:t xml:space="preserve">, written labels for each sign in a sentence, which are expensive to annotate and scarce for ASL [3].</w:t>
      </w:r>
    </w:p>
    <w:p>
      <w:pPr>
        <w:spacing w:after="0" w:line="480"/>
        <w:ind w:firstLine="720"/>
      </w:pPr>
      <w:r>
        <w:t xml:space="preserve">Recent research is therefore moving toward gloss-free and self-supervised models. SignDino, for example, learns sign representations from video without any gloss or text labels [4]. A parallel trend is lightweight models that work on body and hand landmarks extracted by tools such as MediaPipe [5], rather than on full video frames, which makes them small and fast enough for embedded hardware. The winning solution of Google's Isolated Sign Language Recognition competition on Kaggle, a 1D convolutional network combined with a transformer, is one example [6].</w:t>
      </w:r>
    </w:p>
    <w:p>
      <w:pPr>
        <w:spacing w:after="0" w:line="480"/>
        <w:ind w:firstLine="720"/>
      </w:pPr>
      <w:r>
        <w:t xml:space="preserve">Because gloss-free continuous translation still requires large models and datasets, our project uses landmark-based isolated recognition over a limited vocabulary. This approach runs offline on an embedded GPU, can be evaluated sign by sign, and produces confidence scores that the device can use to abstain rather than guess.</w:t>
      </w:r>
    </w:p>
    <w:p>
      <w:pPr>
        <w:spacing w:after="0" w:line="480"/>
        <w:ind w:firstLine="720"/>
      </w:pPr>
      <w:r>
        <w:t xml:space="preserve">Deaf ASL users frequently need an interpreter but cannot get one. In a survey of 32 U.S. Deaf and hard-of-hearing ASL users, this happened most often in medical settings, followed by professional and educational settings [1]. Certified interpreters are costly and can take hours to arrive, especially in rural areas or at short notice [1]. Automated alternatives have three further weaknesses. First, they typically output a translation even when uncertain, and a wrong translation can be worse than none, especially in high-stakes settings. Second, cloud-based systems need a reliable internet connection and stream video of the user to remote servers, which raises privacy concerns. Third, most are one-way: they convert signing to text but give the hearing person no way to reply without a second device.</w:t>
      </w:r>
    </w:p>
    <w:p>
      <w:pPr>
        <w:spacing w:after="0" w:line="480"/>
        <w:ind w:firstLine="720"/>
      </w:pPr>
      <w:r>
        <w:t xml:space="preserve">Our device addresses each of these weaknesses. All processing runs locally on an embedded GPU, so the device works without a network connection and no video leaves it. A built-in microphone converts the hearing person's speech to on-screen text, so a single device supports a two-way conversation. The device speaks a sentence only after the user confirms it on screen, and when its confidence is low it shows a list of candidate signs instead of guessing. The device is intended to provide access when an interpreter is unavailable, such as at a service counter, a front desk, or while waiting for an interpreter to arrive. It is not a replacement for certified interpreters.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written: objectives of the proposed project]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written: adopted approach]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written: current trends]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[To be written: related commercial systems; research status, ethics, economics and sustainability]</w:t>
      </w:r>
    </w:p>
    <w:p>
      <w:pPr>
        <w:pStyle w:val="Heading1"/>
        <w:spacing w:after="120" w:before="480"/>
      </w:pPr>
      <w:r>
        <w:t xml:space="preserve">References</w:t>
      </w:r>
    </w:p>
    <w:p>
      <w:pPr>
        <w:spacing w:after="0" w:line="480"/>
        <w:ind w:firstLine="720"/>
      </w:pPr>
      <w:r>
        <w:rPr>
          <w:i/>
          <w:iCs/>
          <w:color w:val="808080"/>
        </w:rPr>
        <w:t xml:space="preserve">[Move this list to Section 12 in the final report.]</w:t>
      </w:r>
    </w:p>
    <w:p>
      <w:pPr>
        <w:spacing w:after="120"/>
        <w:ind w:left="720" w:hanging="720"/>
      </w:pPr>
      <w:r>
        <w:t xml:space="preserve">[1]	N. Tran, R. E. Ladner, and D. Bragg, “U.S. Deaf community perspectives on automatic sign language translation,” in Proc. 25th Int. ACM SIGACCESS Conf. Computers and Accessibility (ASSETS ’23), New York, NY, USA, 2023, doi: 10.1145/3597638.3614507.</w:t>
      </w:r>
    </w:p>
    <w:p>
      <w:pPr>
        <w:spacing w:after="120"/>
        <w:ind w:left="720" w:hanging="720"/>
      </w:pPr>
      <w:r>
        <w:t xml:space="preserve">[2]	A. Desai et al., “ASL Citizen: A community-sourced dataset for advancing isolated sign language recognition,” in Advances in Neural Information Processing Systems (NeurIPS) Datasets and Benchmarks Track, 2023, arXiv:2304.05934.</w:t>
      </w:r>
    </w:p>
    <w:p>
      <w:pPr>
        <w:spacing w:after="120"/>
        <w:ind w:left="720" w:hanging="720"/>
      </w:pPr>
      <w:r>
        <w:t xml:space="preserve">[3]	X. Zhang and K. Duh, “Improving sign language gloss translation with low-resource machine translation techniques.” [Online]. Available: https://www.cs.jhu.edu/~xzhan138/papers/SLMT_Book_G2T.pdf</w:t>
      </w:r>
    </w:p>
    <w:p>
      <w:pPr>
        <w:spacing w:after="120"/>
        <w:ind w:left="720" w:hanging="720"/>
      </w:pPr>
      <w:r>
        <w:t xml:space="preserve">[4]	J. Hu, Z. He, H. Huang, Z. Li, Z. Li, and Y. Fang, “SignDino: Self-supervised sign language representation learning via temporal-axis self-distillation,” 2026, arXiv:2609.06296.</w:t>
      </w:r>
    </w:p>
    <w:p>
      <w:pPr>
        <w:spacing w:after="120"/>
        <w:ind w:left="720" w:hanging="720"/>
      </w:pPr>
      <w:r>
        <w:t xml:space="preserve">[5]	C. Lugaresi et al., “MediaPipe: A framework for building perception pipelines,” 2019, arXiv:1906.08172.</w:t>
      </w:r>
    </w:p>
    <w:p>
      <w:pPr>
        <w:spacing w:after="120"/>
        <w:ind w:left="720" w:hanging="720"/>
      </w:pPr>
      <w:r>
        <w:t xml:space="preserve">[6]	H. Sohn, “1st place solution – 1DCNN combined with Transformer,” Google – Isolated Sign Language Recognition competition, Kaggle, 2023. [Online]. Available: https://www.kaggle.com/competitions/asl-signs/writeups/hoyeol-sohn-1st-place-solution-1dcnn-combined-with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2026-09-24T23:45:46.002Z</dcterms:created>
  <dcterms:modified xsi:type="dcterms:W3CDTF">2026-09-24T23:45:46.002Z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