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3. Introduction</w:t>
      </w:r>
    </w:p>
    <w:p>
      <w:pPr>
        <w:spacing w:after="0" w:line="480"/>
        <w:ind w:firstLine="720"/>
      </w:pPr>
      <w:r>
        <w:t xml:space="preserve">Automatic sign language processing has advanced quickly, but no system yet translates American Sign Language (ASL) reliably enough for general real-world use [1]. Research is divided into two tasks. </w:t>
      </w:r>
      <w:r>
        <w:rPr>
          <w:i/>
          <w:iCs/>
        </w:rPr>
        <w:t xml:space="preserve">Isolated sign language recognition</w:t>
      </w:r>
      <w:r>
        <w:t xml:space="preserve"> (ISLR) identifies a single sign from a fixed vocabulary. On the ASL Citizen dataset, which contains 83,399 videos of 2,731 signs from 52 signers, the best published baseline reaches 63.1% top-1 accuracy on signers not seen during training [2]. </w:t>
      </w:r>
      <w:r>
        <w:rPr>
          <w:i/>
          <w:iCs/>
        </w:rPr>
        <w:t xml:space="preserve">Sign language translation</w:t>
      </w:r>
      <w:r>
        <w:t xml:space="preserve"> (SLT) converts continuous signing into full sentences. SLT models have traditionally been trained on </w:t>
      </w:r>
      <w:r>
        <w:rPr>
          <w:i/>
          <w:iCs/>
        </w:rPr>
        <w:t xml:space="preserve">glosses</w:t>
      </w:r>
      <w:r>
        <w:t xml:space="preserve">, written labels for each sign in a sentence, which are expensive to annotate and scarce for ASL [3].</w:t>
      </w:r>
    </w:p>
    <w:p>
      <w:pPr>
        <w:spacing w:after="0" w:line="480"/>
        <w:ind w:firstLine="720"/>
      </w:pPr>
      <w:r>
        <w:t xml:space="preserve">Recent research is therefore moving toward gloss-free and self-supervised models. SignDino, for example, learns sign representations from video without any gloss or text labels [4]. A parallel trend is lightweight models that work on body and hand landmarks extracted by tools such as MediaPipe [5], rather than on full video frames, which makes them small and fast enough for embedded hardware. The winning solution of the Google – Isolated Sign Language Recognition competition on Kaggle, a 1D convolutional network combined with a transformer, is one example [6].</w:t>
      </w:r>
    </w:p>
    <w:p>
      <w:pPr>
        <w:spacing w:after="0" w:line="480"/>
        <w:ind w:firstLine="720"/>
      </w:pPr>
      <w:r>
        <w:t xml:space="preserve">Because gloss-free continuous translation still requires large models and datasets, our project uses landmark-based isolated recognition over a limited vocabulary. This approach runs offline on an embedded GPU, can be evaluated sign by sign, and produces confidence scores that the device can use to abstain rather than guess.</w:t>
      </w:r>
    </w:p>
    <w:p>
      <w:pPr>
        <w:spacing w:after="0" w:line="480"/>
        <w:ind w:firstLine="720"/>
      </w:pPr>
      <w:r>
        <w:t xml:space="preserve">Deaf ASL users frequently need an interpreter but cannot get one. In a survey of 32 U.S. Deaf and hard-of-hearing ASL users, this happened most often in medical settings, followed by professional and educational settings [1]. Certified interpreters are costly and can take hours to arrive, especially in rural areas or at short notice [1]. Automated alternatives have three further weaknesses. First, they typically output a translation even when uncertain, and a wrong translation can be worse than none, especially in high-stakes settings. Second, cloud-based systems need a reliable internet connection and stream video of the user to remote servers, which raises privacy concerns. Third, most are one-way: they convert signing to text but give the hearing person no way to reply without a second device.</w:t>
      </w:r>
    </w:p>
    <w:p>
      <w:pPr>
        <w:spacing w:after="0" w:line="480"/>
        <w:ind w:firstLine="720"/>
      </w:pPr>
      <w:r>
        <w:t xml:space="preserve">Our device addresses each of these weaknesses. All processing runs locally on an embedded GPU, so the device works without a network connection and no video leaves it. A built-in microphone converts the hearing person's speech to on-screen text, so a single device supports a two-way conversation. The device speaks a sentence only after the user confirms it on screen, and when its confidence is low it shows a list of candidate signs instead of guessing. The device is intended to provide access when an interpreter is unavailable, such as at a service counter, a front desk, or while waiting for an interpreter to arrive. It is not a replacement for certified interpreters.</w:t>
      </w:r>
    </w:p>
    <w:p>
      <w:pPr>
        <w:spacing w:after="0" w:line="480"/>
        <w:ind w:firstLine="720"/>
      </w:pPr>
      <w:r>
        <w:t xml:space="preserve">The objective of this project is to design and build a portable prototype that lets a Deaf ASL user hold a short two-way conversation with a hearing person who speaks English, Turkish or Spanish, without an internet connection. The prototype is scoped to structured, everyday exchanges such as those at a service counter or front desk. Its technical goals are to recognize a vocabulary of 100–250 ASL signs, with fingerspelling as a fallback, at no less than 75% top-1 and 90% top-5 accuracy on signers not seen during training; to speak a confirmed sentence in the selected language within 1.2 s of the user's confirmation; to show the hearing person's spoken reply as English text; and to run entirely on an embedded GPU. The project also has a reliability objective: the device should abstain rather than voice a translation it is not confident in, and we will report its accuracy on the sentences it does speak, not only its overall accuracy. These figures are design targets; measured results will be reported as the project progresses.</w:t>
      </w:r>
    </w:p>
    <w:p>
      <w:pPr>
        <w:spacing w:after="0" w:line="480"/>
        <w:ind w:firstLine="720"/>
      </w:pPr>
      <w:r>
        <w:t xml:space="preserve">Figure 1 shows the system architecture. A camera captures the signer, and MediaPipe [5] extracts body, hand and face landmarks from each frame. In natural signing, signs flow into each other with minimal pauses, and segmenting them automatically is still an open research problem [7]. The user therefore signs one sign at a time and returns the hands to a rest position between signs, and the device uses this rest pose to mark where each sign ends. A lightweight landmark-based model, following the 1D-CNN and transformer design of [6], classifies each sign and outputs its five most likely labels with confidence scores. The model will be trained on the ASL Citizen dataset [2] and evaluated on its signer-independent test split and on recordings from our own test users.</w:t>
      </w:r>
    </w:p>
    <w:p>
      <w:pPr>
        <w:spacing w:after="60" w:before="240"/>
        <w:jc w:val="center"/>
      </w:pPr>
      <w:r>
        <w:drawing>
          <wp:inline distT="0" distB="0" distL="0" distR="0">
            <wp:extent cx="5760720" cy="2733675"/>
            <wp:effectExtent t="0" r="0" b="0" l="0"/>
            <wp:docPr id="1" name="fig1_block_diagram.png" descr="Figure 1. System block diagram. All processing runs on the embedded GPU without a network connection." title="Figure 1. System block diagram. All processing runs on the embedded GPU without a network conne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60720" cy="2733675"/>
                    </a:xfrm>
                    <a:prstGeom prst="rect">
                      <a:avLst/>
                    </a:prstGeom>
                  </pic:spPr>
                </pic:pic>
              </a:graphicData>
            </a:graphic>
          </wp:inline>
        </w:drawing>
      </w:r>
    </w:p>
    <w:p>
      <w:pPr>
        <w:spacing w:after="240"/>
        <w:jc w:val="center"/>
      </w:pPr>
      <w:r>
        <w:rPr>
          <w:b/>
          <w:bCs/>
          <w:sz w:val="20"/>
          <w:szCs w:val="20"/>
        </w:rPr>
        <w:t xml:space="preserve">Figure 1. </w:t>
      </w:r>
      <w:r>
        <w:rPr>
          <w:sz w:val="20"/>
          <w:szCs w:val="20"/>
        </w:rPr>
        <w:t xml:space="preserve">System block diagram. All processing runs on the embedded GPU without a network connection.</w:t>
      </w:r>
    </w:p>
    <w:p>
      <w:pPr>
        <w:spacing w:after="0" w:line="480"/>
        <w:ind w:firstLine="720"/>
      </w:pPr>
      <w:r>
        <w:t xml:space="preserve">The recognized signs are ASL glosses, not English. ASL has its own word order and grammar, so a sequence such as STORE ME GO must become “I am going to the store.” A sentence builder performs this step, using templates for common phrases in the target setting and a small language model as a fallback, in line with recent work that applies pretrained language models to gloss-to-text translation [8]. The English sentence is shown on screen for the user to confirm or edit. Only confirmed sentences are translated into Turkish or Spanish with NLLB-200 [9] and spoken with Piper, an offline neural text-to-speech system [10]. In the reverse direction, Whisper [11] transcribes the hearing person's reply and translates it into English text for the Deaf user.</w:t>
      </w:r>
    </w:p>
    <w:p>
      <w:pPr>
        <w:spacing w:after="0" w:line="480"/>
        <w:ind w:firstLine="720"/>
      </w:pPr>
      <w:r>
        <w:t xml:space="preserve">Figure 2 shows how the device decides when to speak. If the recognizer's confidence for a sign is above a threshold, the top sign is accepted; otherwise the device shows the five most likely candidates and the user picks one or signs again. This follows the idea of selective prediction, in which a model may abstain on uncertain inputs to raise accuracy on the answers it does give [12]. We will evaluate this trade-off with risk–coverage curves and report accuracy separately for each test signer.</w:t>
      </w:r>
    </w:p>
    <w:p>
      <w:pPr>
        <w:spacing w:after="60" w:before="240"/>
        <w:jc w:val="center"/>
      </w:pPr>
      <w:r>
        <w:drawing>
          <wp:inline distT="0" distB="0" distL="0" distR="0">
            <wp:extent cx="5486400" cy="3028950"/>
            <wp:effectExtent t="0" r="0" b="0" l="0"/>
            <wp:docPr id="1" name="fig2_decision_flow.png" descr="Figure 2. Decision flow for confidence-gated output. Nothing is spoken until the user confirms the English sentence." title="Figure 2. Decision flow for confidence-gated output. Nothing is spoken until the user confirms the English sent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486400" cy="3028950"/>
                    </a:xfrm>
                    <a:prstGeom prst="rect">
                      <a:avLst/>
                    </a:prstGeom>
                  </pic:spPr>
                </pic:pic>
              </a:graphicData>
            </a:graphic>
          </wp:inline>
        </w:drawing>
      </w:r>
    </w:p>
    <w:p>
      <w:pPr>
        <w:spacing w:after="240"/>
        <w:jc w:val="center"/>
      </w:pPr>
      <w:r>
        <w:rPr>
          <w:b/>
          <w:bCs/>
          <w:sz w:val="20"/>
          <w:szCs w:val="20"/>
        </w:rPr>
        <w:t xml:space="preserve">Figure 2. </w:t>
      </w:r>
      <w:r>
        <w:rPr>
          <w:sz w:val="20"/>
          <w:szCs w:val="20"/>
        </w:rPr>
        <w:t xml:space="preserve">Decision flow for confidence-gated output. Nothing is spoken until the user confirms the English sentence.</w:t>
      </w:r>
    </w:p>
    <w:p>
      <w:pPr>
        <w:spacing w:after="0" w:line="480"/>
        <w:ind w:firstLine="720"/>
      </w:pPr>
      <w:r>
        <w:t xml:space="preserve">Three trends shape the field. First, research is moving from gloss-based pipelines toward gloss-free and self-supervised models that learn from large amounts of unlabeled video [4], and pretrained language models are increasingly used for the language side of translation [8]. Second, models are moving onto consumer and embedded hardware. Landmark-based recognizers are small enough to run in real time on phones and single-board computers, which makes offline, privacy-preserving devices practical [5], [6]. Third, the field increasingly recognizes that sign language technology must be designed with Deaf communities rather than for them. Researchers have called for systems built around specific, real-world use cases with input from Deaf culture and linguistics experts [13], and Deaf and hard-of-hearing participants in recent studies emphasize Deaf-led design and warn of harm when they are excluded from decisions [14]. Our project follows the second and third trends directly; it does not attempt gloss-free continuous translation, which still requires large models and datasets.</w:t>
      </w:r>
    </w:p>
    <w:p>
      <w:pPr>
        <w:spacing w:after="0" w:line="480"/>
        <w:ind w:firstLine="720"/>
      </w:pPr>
      <w:r>
        <w:t xml:space="preserve">No automatic ASL translation system is yet reliable enough for general use [1]. The best-known commercial effort, SignAll, combines multiple cameras with natural language processing to translate ASL into English text [15]. Patents show several other approaches, summarized in Table 1: multiple cameras with a depth sensor [16], single-camera recognition with cloud processing [17], sensor gloves [18], and an earlier glove- or camera-based system with speech output [19]. The closest to our design is [17], which also works from a single camera and, in one embodiment, lets the user choose among the three most likely translations. Our device differs from all four in combining single-camera input, fully offline processing on an embedded GPU, confidence-gated output and speech in several languages. It is also a form factor the Deaf community is open to: 69% of survey participants were comfortable using a stand-alone system of this kind, compared with 38% for wearables (Figure 3) [1].</w:t>
      </w:r>
    </w:p>
    <w:p>
      <w:pPr>
        <w:spacing w:after="120" w:before="240"/>
        <w:jc w:val="center"/>
      </w:pPr>
      <w:r>
        <w:rPr>
          <w:b/>
          <w:bCs/>
          <w:sz w:val="20"/>
          <w:szCs w:val="20"/>
        </w:rPr>
        <w:t xml:space="preserve">Table 1. </w:t>
      </w:r>
      <w:r>
        <w:rPr>
          <w:sz w:val="20"/>
          <w:szCs w:val="20"/>
        </w:rPr>
        <w:t xml:space="preserve">Comparison of patented sign language translation systems with the proposed device.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100"/>
        <w:gridCol w:w="1900"/>
        <w:gridCol w:w="3660"/>
      </w:tblGrid>
      <w:tr>
        <w:trPr>
          <w:tblHeader/>
        </w:trPr>
        <w:tc>
          <w:tcPr>
            <w:tcW w:type="dxa" w:w="1700"/>
            <w:tcBorders>
              <w:top w:val="single" w:color="808080" w:sz="4"/>
              <w:left w:val="single" w:color="808080" w:sz="4"/>
              <w:bottom w:val="single" w:color="808080" w:sz="4"/>
              <w:right w:val="single" w:color="808080" w:sz="4"/>
            </w:tcBorders>
            <w:shd w:fill="E7E6E6" w:color="auto" w:val="clear"/>
            <w:tcMar>
              <w:top w:type="dxa" w:w="60"/>
              <w:left w:type="dxa" w:w="100"/>
              <w:bottom w:type="dxa" w:w="60"/>
              <w:right w:type="dxa" w:w="100"/>
            </w:tcMar>
          </w:tcPr>
          <w:p>
            <w:r>
              <w:rPr>
                <w:b/>
                <w:bCs/>
                <w:sz w:val="20"/>
                <w:szCs w:val="20"/>
              </w:rPr>
              <w:t xml:space="preserve">System</w:t>
            </w:r>
          </w:p>
        </w:tc>
        <w:tc>
          <w:tcPr>
            <w:tcW w:type="dxa" w:w="2100"/>
            <w:tcBorders>
              <w:top w:val="single" w:color="808080" w:sz="4"/>
              <w:left w:val="single" w:color="808080" w:sz="4"/>
              <w:bottom w:val="single" w:color="808080" w:sz="4"/>
              <w:right w:val="single" w:color="808080" w:sz="4"/>
            </w:tcBorders>
            <w:shd w:fill="E7E6E6" w:color="auto" w:val="clear"/>
            <w:tcMar>
              <w:top w:type="dxa" w:w="60"/>
              <w:left w:type="dxa" w:w="100"/>
              <w:bottom w:type="dxa" w:w="60"/>
              <w:right w:type="dxa" w:w="100"/>
            </w:tcMar>
          </w:tcPr>
          <w:p>
            <w:r>
              <w:rPr>
                <w:b/>
                <w:bCs/>
                <w:sz w:val="20"/>
                <w:szCs w:val="20"/>
              </w:rPr>
              <w:t xml:space="preserve">Input</w:t>
            </w:r>
          </w:p>
        </w:tc>
        <w:tc>
          <w:tcPr>
            <w:tcW w:type="dxa" w:w="1900"/>
            <w:tcBorders>
              <w:top w:val="single" w:color="808080" w:sz="4"/>
              <w:left w:val="single" w:color="808080" w:sz="4"/>
              <w:bottom w:val="single" w:color="808080" w:sz="4"/>
              <w:right w:val="single" w:color="808080" w:sz="4"/>
            </w:tcBorders>
            <w:shd w:fill="E7E6E6" w:color="auto" w:val="clear"/>
            <w:tcMar>
              <w:top w:type="dxa" w:w="60"/>
              <w:left w:type="dxa" w:w="100"/>
              <w:bottom w:type="dxa" w:w="60"/>
              <w:right w:type="dxa" w:w="100"/>
            </w:tcMar>
          </w:tcPr>
          <w:p>
            <w:r>
              <w:rPr>
                <w:b/>
                <w:bCs/>
                <w:sz w:val="20"/>
                <w:szCs w:val="20"/>
              </w:rPr>
              <w:t xml:space="preserve">Processing</w:t>
            </w:r>
          </w:p>
        </w:tc>
        <w:tc>
          <w:tcPr>
            <w:tcW w:type="dxa" w:w="3660"/>
            <w:tcBorders>
              <w:top w:val="single" w:color="808080" w:sz="4"/>
              <w:left w:val="single" w:color="808080" w:sz="4"/>
              <w:bottom w:val="single" w:color="808080" w:sz="4"/>
              <w:right w:val="single" w:color="808080" w:sz="4"/>
            </w:tcBorders>
            <w:shd w:fill="E7E6E6" w:color="auto" w:val="clear"/>
            <w:tcMar>
              <w:top w:type="dxa" w:w="60"/>
              <w:left w:type="dxa" w:w="100"/>
              <w:bottom w:type="dxa" w:w="60"/>
              <w:right w:type="dxa" w:w="100"/>
            </w:tcMar>
          </w:tcPr>
          <w:p>
            <w:r>
              <w:rPr>
                <w:b/>
                <w:bCs/>
                <w:sz w:val="20"/>
                <w:szCs w:val="20"/>
              </w:rPr>
              <w:t xml:space="preserve">Output</w:t>
            </w:r>
          </w:p>
        </w:tc>
      </w:tr>
      <w:tr>
        <w:trPr>
          <w:tblHeader w:val="false"/>
        </w:trPr>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Avodah [16]</w:t>
            </w:r>
          </w:p>
        </w:tc>
        <w:tc>
          <w:tcPr>
            <w:tcW w:type="dxa" w:w="21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Multiple cameras and a depth sensor</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On device and in the cloud</w:t>
            </w:r>
          </w:p>
        </w:tc>
        <w:tc>
          <w:tcPr>
            <w:tcW w:type="dxa" w:w="36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Text, speech or a signing avatar; two-way</w:t>
            </w:r>
          </w:p>
        </w:tc>
      </w:tr>
      <w:tr>
        <w:trPr>
          <w:tblHeader w:val="false"/>
        </w:trPr>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Sign-Speak [17]</w:t>
            </w:r>
          </w:p>
        </w:tc>
        <w:tc>
          <w:tcPr>
            <w:tcW w:type="dxa" w:w="21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Single camera</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Cloud (requires WiFi)</w:t>
            </w:r>
          </w:p>
        </w:tc>
        <w:tc>
          <w:tcPr>
            <w:tcW w:type="dxa" w:w="36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Text in a target language; optional menu of the three most likely translations</w:t>
            </w:r>
          </w:p>
        </w:tc>
      </w:tr>
      <w:tr>
        <w:trPr>
          <w:tblHeader w:val="false"/>
        </w:trPr>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Bosch [18]</w:t>
            </w:r>
          </w:p>
        </w:tc>
        <w:tc>
          <w:tcPr>
            <w:tcW w:type="dxa" w:w="21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Gloves with motion sensors</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External processor</w:t>
            </w:r>
          </w:p>
        </w:tc>
        <w:tc>
          <w:tcPr>
            <w:tcW w:type="dxa" w:w="36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Text or audio in one or more languages</w:t>
            </w:r>
          </w:p>
        </w:tc>
      </w:tr>
      <w:tr>
        <w:trPr>
          <w:tblHeader w:val="false"/>
        </w:trPr>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Hitachi [19] (expired)</w:t>
            </w:r>
          </w:p>
        </w:tc>
        <w:tc>
          <w:tcPr>
            <w:tcW w:type="dxa" w:w="21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Data gloves or camera</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Local computer</w:t>
            </w:r>
          </w:p>
        </w:tc>
        <w:tc>
          <w:tcPr>
            <w:tcW w:type="dxa" w:w="36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Text or synthesized speech</w:t>
            </w:r>
          </w:p>
        </w:tc>
      </w:tr>
      <w:tr>
        <w:trPr>
          <w:tblHeader w:val="false"/>
        </w:trPr>
        <w:tc>
          <w:tcPr>
            <w:tcW w:type="dxa" w:w="1700"/>
            <w:tcBorders>
              <w:top w:val="single" w:color="808080" w:sz="4"/>
              <w:left w:val="single" w:color="808080" w:sz="4"/>
              <w:bottom w:val="single" w:color="808080" w:sz="4"/>
              <w:right w:val="single" w:color="808080" w:sz="4"/>
            </w:tcBorders>
            <w:shd w:fill="E3EEFB" w:color="auto" w:val="clear"/>
            <w:tcMar>
              <w:top w:type="dxa" w:w="60"/>
              <w:left w:type="dxa" w:w="100"/>
              <w:bottom w:type="dxa" w:w="60"/>
              <w:right w:type="dxa" w:w="100"/>
            </w:tcMar>
          </w:tcPr>
          <w:p>
            <w:r>
              <w:rPr>
                <w:b/>
                <w:bCs/>
                <w:sz w:val="20"/>
                <w:szCs w:val="20"/>
              </w:rPr>
              <w:t xml:space="preserve">Proposed device</w:t>
            </w:r>
          </w:p>
        </w:tc>
        <w:tc>
          <w:tcPr>
            <w:tcW w:type="dxa" w:w="2100"/>
            <w:tcBorders>
              <w:top w:val="single" w:color="808080" w:sz="4"/>
              <w:left w:val="single" w:color="808080" w:sz="4"/>
              <w:bottom w:val="single" w:color="808080" w:sz="4"/>
              <w:right w:val="single" w:color="808080" w:sz="4"/>
            </w:tcBorders>
            <w:shd w:fill="E3EEFB" w:color="auto" w:val="clear"/>
            <w:tcMar>
              <w:top w:type="dxa" w:w="60"/>
              <w:left w:type="dxa" w:w="100"/>
              <w:bottom w:type="dxa" w:w="60"/>
              <w:right w:type="dxa" w:w="100"/>
            </w:tcMar>
          </w:tcPr>
          <w:p>
            <w:r>
              <w:rPr>
                <w:b/>
                <w:bCs/>
                <w:sz w:val="20"/>
                <w:szCs w:val="20"/>
              </w:rPr>
              <w:t xml:space="preserve">Single RGB camera and microphone</w:t>
            </w:r>
          </w:p>
        </w:tc>
        <w:tc>
          <w:tcPr>
            <w:tcW w:type="dxa" w:w="1900"/>
            <w:tcBorders>
              <w:top w:val="single" w:color="808080" w:sz="4"/>
              <w:left w:val="single" w:color="808080" w:sz="4"/>
              <w:bottom w:val="single" w:color="808080" w:sz="4"/>
              <w:right w:val="single" w:color="808080" w:sz="4"/>
            </w:tcBorders>
            <w:shd w:fill="E3EEFB" w:color="auto" w:val="clear"/>
            <w:tcMar>
              <w:top w:type="dxa" w:w="60"/>
              <w:left w:type="dxa" w:w="100"/>
              <w:bottom w:type="dxa" w:w="60"/>
              <w:right w:type="dxa" w:w="100"/>
            </w:tcMar>
          </w:tcPr>
          <w:p>
            <w:r>
              <w:rPr>
                <w:b/>
                <w:bCs/>
                <w:sz w:val="20"/>
                <w:szCs w:val="20"/>
              </w:rPr>
              <w:t xml:space="preserve">On device, fully offline</w:t>
            </w:r>
          </w:p>
        </w:tc>
        <w:tc>
          <w:tcPr>
            <w:tcW w:type="dxa" w:w="3660"/>
            <w:tcBorders>
              <w:top w:val="single" w:color="808080" w:sz="4"/>
              <w:left w:val="single" w:color="808080" w:sz="4"/>
              <w:bottom w:val="single" w:color="808080" w:sz="4"/>
              <w:right w:val="single" w:color="808080" w:sz="4"/>
            </w:tcBorders>
            <w:shd w:fill="E3EEFB" w:color="auto" w:val="clear"/>
            <w:tcMar>
              <w:top w:type="dxa" w:w="60"/>
              <w:left w:type="dxa" w:w="100"/>
              <w:bottom w:type="dxa" w:w="60"/>
              <w:right w:type="dxa" w:w="100"/>
            </w:tcMar>
          </w:tcPr>
          <w:p>
            <w:r>
              <w:rPr>
                <w:b/>
                <w:bCs/>
                <w:sz w:val="20"/>
                <w:szCs w:val="20"/>
              </w:rPr>
              <w:t xml:space="preserve">Speech in English, Turkish or Spanish after user confirmation; reply shown as English text</w:t>
            </w:r>
          </w:p>
        </w:tc>
      </w:tr>
    </w:tbl>
    <w:p>
      <w:pPr>
        <w:spacing w:after="240"/>
      </w:pPr>
    </w:p>
    <w:p>
      <w:pPr>
        <w:spacing w:after="60" w:before="240"/>
        <w:jc w:val="center"/>
      </w:pPr>
      <w:r>
        <w:drawing>
          <wp:inline distT="0" distB="0" distL="0" distR="0">
            <wp:extent cx="5029200" cy="1981200"/>
            <wp:effectExtent t="0" r="0" b="0" l="0"/>
            <wp:docPr id="1" name="fig3_hardware_preferences.png" descr="Figure 3. Hardware form factors that Deaf and hard-of-hearing survey participants were comfortable using (n = 32). Data from Tran et al. [1]." title="Figure 3. Hardware form factors that Deaf and hard-of-hearing survey participants were comfortable using (n = 32). Data from Tran et al.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029200" cy="1981200"/>
                    </a:xfrm>
                    <a:prstGeom prst="rect">
                      <a:avLst/>
                    </a:prstGeom>
                  </pic:spPr>
                </pic:pic>
              </a:graphicData>
            </a:graphic>
          </wp:inline>
        </w:drawing>
      </w:r>
    </w:p>
    <w:p>
      <w:pPr>
        <w:spacing w:after="240"/>
        <w:jc w:val="center"/>
      </w:pPr>
      <w:r>
        <w:rPr>
          <w:b/>
          <w:bCs/>
          <w:sz w:val="20"/>
          <w:szCs w:val="20"/>
        </w:rPr>
        <w:t xml:space="preserve">Figure 3. </w:t>
      </w:r>
      <w:r>
        <w:rPr>
          <w:sz w:val="20"/>
          <w:szCs w:val="20"/>
        </w:rPr>
        <w:t xml:space="preserve">Hardware form factors that Deaf and hard-of-hearing survey participants were comfortable using (n = 32). Data from Tran et al. [1].</w:t>
      </w:r>
    </w:p>
    <w:p>
      <w:pPr>
        <w:spacing w:after="0" w:line="480"/>
        <w:ind w:firstLine="720"/>
      </w:pPr>
      <w:r>
        <w:t xml:space="preserve">The same survey identifies the ethical risks of this technology. More than 80% of participants were concerned about hearing people profiting from ASL, systems missing ASL grammatical features, automatic translation weakening the legal right to other accommodations, and poorer performance for some users than others [1]. We address these directly. The device is presented as a way to communicate when an interpreter is unavailable, not as a substitute that could justify withholding one. Its limits are stated plainly: it recognizes individual signs and does not capture facial grammar or continuous signing. Accuracy will be reported for each test signer, not only as an average. We will seek input from Deaf ASL users when choosing the vocabulary and testing the device, as recommended in [13] and [14]. Because video never leaves the device, the design also avoids the privacy risk of streaming a user's image to a remote server.</w:t>
      </w:r>
    </w:p>
    <w:p>
      <w:pPr>
        <w:spacing w:after="0" w:line="480"/>
        <w:ind w:firstLine="720"/>
      </w:pPr>
      <w:r>
        <w:t xml:space="preserve">Economically, certified interpreters are costly and often must be scheduled in advance [1]. Our device is built from off-the-shelf components (an embedded GPU module, a camera, a microphone, a speaker and a display) and uses open-source models, so once built it has no per-use service fees or cloud costs. For sustainability, it runs on a low-power embedded module rather than a desktop GPU or cloud servers, which keeps energy use low and avoids continuous data transmission. Standard, replaceable components make the device repairable and upgradable, and the software can be moved to newer hardware instead of the device being discarded.</w:t>
      </w:r>
    </w:p>
    <w:p>
      <w:pPr>
        <w:spacing w:after="0" w:line="480"/>
        <w:ind w:firstLine="720"/>
      </w:pPr>
      <w:r>
        <w:rPr>
          <w:i/>
          <w:iCs/>
          <w:color w:val="808080"/>
        </w:rPr>
        <w:t xml:space="preserve">[Add a cross-reference to the budget section once it is written.]</w:t>
      </w:r>
    </w:p>
    <w:p>
      <w:pPr>
        <w:pStyle w:val="Heading1"/>
        <w:spacing w:after="120" w:before="480"/>
      </w:pPr>
      <w:r>
        <w:t xml:space="preserve">References</w:t>
      </w:r>
    </w:p>
    <w:p>
      <w:pPr>
        <w:spacing w:after="0" w:line="480"/>
        <w:ind w:firstLine="720"/>
      </w:pPr>
      <w:r>
        <w:rPr>
          <w:i/>
          <w:iCs/>
          <w:color w:val="808080"/>
        </w:rPr>
        <w:t xml:space="preserve">[Move this list to Section 12 in the final report.]</w:t>
      </w:r>
    </w:p>
    <w:p>
      <w:pPr>
        <w:spacing w:after="120"/>
        <w:ind w:left="720" w:hanging="720"/>
      </w:pPr>
      <w:r>
        <w:t xml:space="preserve">[1]	N. Tran, R. E. Ladner, and D. Bragg, “U.S. Deaf community perspectives on automatic sign language translation,” in Proc. 25th Int. ACM SIGACCESS Conf. Computers and Accessibility (ASSETS ’23), New York, NY, USA, 2023, doi: 10.1145/3597638.3614507.</w:t>
      </w:r>
    </w:p>
    <w:p>
      <w:pPr>
        <w:spacing w:after="120"/>
        <w:ind w:left="720" w:hanging="720"/>
      </w:pPr>
      <w:r>
        <w:t xml:space="preserve">[2]	A. Desai et al., “ASL Citizen: A community-sourced dataset for advancing isolated sign language recognition,” in Advances in Neural Information Processing Systems (NeurIPS) Datasets and Benchmarks Track, 2023, arXiv:2304.05934.</w:t>
      </w:r>
    </w:p>
    <w:p>
      <w:pPr>
        <w:spacing w:after="120"/>
        <w:ind w:left="720" w:hanging="720"/>
      </w:pPr>
      <w:r>
        <w:t xml:space="preserve">[3]	X. Zhang and K. Duh, “Improving sign language gloss translation with low-resource machine translation techniques.” [Online]. Available: https://www.cs.jhu.edu/~xzhan138/papers/SLMT_Book_G2T.pdf</w:t>
      </w:r>
    </w:p>
    <w:p>
      <w:pPr>
        <w:spacing w:after="120"/>
        <w:ind w:left="720" w:hanging="720"/>
      </w:pPr>
      <w:r>
        <w:t xml:space="preserve">[4]	J. Hu, Z. He, H. Huang, Z. Li, Z. Li, and Y. Fang, “SignDino: Self-supervised sign language representation learning via temporal-axis self-distillation,” 2026, arXiv:2609.06296.</w:t>
      </w:r>
    </w:p>
    <w:p>
      <w:pPr>
        <w:spacing w:after="120"/>
        <w:ind w:left="720" w:hanging="720"/>
      </w:pPr>
      <w:r>
        <w:t xml:space="preserve">[5]	C. Lugaresi et al., “MediaPipe: A framework for building perception pipelines,” 2019, arXiv:1906.08172.</w:t>
      </w:r>
    </w:p>
    <w:p>
      <w:pPr>
        <w:spacing w:after="120"/>
        <w:ind w:left="720" w:hanging="720"/>
      </w:pPr>
      <w:r>
        <w:t xml:space="preserve">[6]	H. Sohn, “1st place solution – 1DCNN combined with Transformer,” Google – Isolated Sign Language Recognition competition, Kaggle, 2023. [Online]. Available: https://www.kaggle.com/competitions/asl-signs/writeups/hoyeol-sohn-1st-place-solution-1dcnn-combined-with</w:t>
      </w:r>
    </w:p>
    <w:p>
      <w:pPr>
        <w:spacing w:after="120"/>
        <w:ind w:left="720" w:hanging="720"/>
      </w:pPr>
      <w:r>
        <w:t xml:space="preserve">[7]	A. Moryossef, Z. Jiang, M. Müller, S. Ebling, and Y. Goldberg, “Linguistically motivated sign language segmentation,” in Findings of the Association for Computational Linguistics: EMNLP 2023, arXiv:2310.13960.</w:t>
      </w:r>
    </w:p>
    <w:p>
      <w:pPr>
        <w:spacing w:after="120"/>
        <w:ind w:left="720" w:hanging="720"/>
      </w:pPr>
      <w:r>
        <w:t xml:space="preserve">[8]	P. Fayyazsanavi, A. Anastasopoulos, and J. Košecká, “Gloss2Text: Sign language gloss translation using LLMs and semantically aware label smoothing,” 2024, arXiv:2407.01394.</w:t>
      </w:r>
    </w:p>
    <w:p>
      <w:pPr>
        <w:spacing w:after="120"/>
        <w:ind w:left="720" w:hanging="720"/>
      </w:pPr>
      <w:r>
        <w:t xml:space="preserve">[9]	NLLB Team et al., “No Language Left Behind: Scaling human-centered machine translation,” 2022, arXiv:2207.04672.</w:t>
      </w:r>
    </w:p>
    <w:p>
      <w:pPr>
        <w:spacing w:after="120"/>
        <w:ind w:left="720" w:hanging="720"/>
      </w:pPr>
      <w:r>
        <w:t xml:space="preserve">[10]	Rhasspy, “Piper: A fast, local neural text to speech system.” [Online]. Available: https://github.com/rhasspy/piper</w:t>
      </w:r>
    </w:p>
    <w:p>
      <w:pPr>
        <w:spacing w:after="120"/>
        <w:ind w:left="720" w:hanging="720"/>
      </w:pPr>
      <w:r>
        <w:t xml:space="preserve">[11]	A. Radford, J. W. Kim, T. Xu, G. Brockman, C. McLeavey, and I. Sutskever, “Robust speech recognition via large-scale weak supervision,” 2022, arXiv:2212.04356.</w:t>
      </w:r>
    </w:p>
    <w:p>
      <w:pPr>
        <w:spacing w:after="120"/>
        <w:ind w:left="720" w:hanging="720"/>
      </w:pPr>
      <w:r>
        <w:t xml:space="preserve">[12]	J. Traub et al., “Overcoming common flaws in the evaluation of selective classification systems,” 2024, arXiv:2407.01032.</w:t>
      </w:r>
    </w:p>
    <w:p>
      <w:pPr>
        <w:spacing w:after="120"/>
        <w:ind w:left="720" w:hanging="720"/>
      </w:pPr>
      <w:r>
        <w:t xml:space="preserve">[13]	D. Bragg et al., “Sign language recognition, generation, and translation: An interdisciplinary perspective,” in Proc. 21st Int. ACM SIGACCESS Conf. Computers and Accessibility (ASSETS ’19), 2019, pp. 16–31, doi: 10.1145/3308561.3353774.</w:t>
      </w:r>
    </w:p>
    <w:p>
      <w:pPr>
        <w:spacing w:after="120"/>
        <w:ind w:left="720" w:hanging="720"/>
      </w:pPr>
      <w:r>
        <w:t xml:space="preserve">[14]	K. Atwell, S. Imai, D. Bragg, and M. Alikhani, “‘Nothing about us without us’: Perspectives of global Deaf and hard-of-hearing community members on sign language technologies,” 2025, arXiv:2512.08839.</w:t>
      </w:r>
    </w:p>
    <w:p>
      <w:pPr>
        <w:spacing w:after="120"/>
        <w:ind w:left="720" w:hanging="720"/>
      </w:pPr>
      <w:r>
        <w:t xml:space="preserve">[15]	SignAll, “SignAll translates sign language to English automatically,” PRWeb. [Online]. Available: https://www.prweb.com/releases/signall-translates-sign-language-to-english-automatically-868736288.html</w:t>
      </w:r>
    </w:p>
    <w:p>
      <w:pPr>
        <w:spacing w:after="120"/>
        <w:ind w:left="720" w:hanging="720"/>
      </w:pPr>
      <w:r>
        <w:t xml:space="preserve">[16]	M. Menefee, D. Nash, and T. Chandler, “Automated sign language translation and communication using multiple input and output modalities,” U.S. Patent 10 489 639 B2, Nov. 26, 2019.</w:t>
      </w:r>
    </w:p>
    <w:p>
      <w:pPr>
        <w:spacing w:after="120"/>
        <w:ind w:left="720" w:hanging="720"/>
      </w:pPr>
      <w:r>
        <w:t xml:space="preserve">[17]	N. A. Kelly, “Realtime AI sign language recognition,” U.S. Patent Appl. Pub. 2022/0327961 A1, Oct. 13, 2022.</w:t>
      </w:r>
    </w:p>
    <w:p>
      <w:pPr>
        <w:spacing w:after="120"/>
        <w:ind w:left="720" w:hanging="720"/>
      </w:pPr>
      <w:r>
        <w:t xml:space="preserve">[18]	Z. Zhou et al., “System and method for automated sign language recognition,” U.S. Patent Appl. Pub. 2016/0307469 A1, Oct. 20, 2016.</w:t>
      </w:r>
    </w:p>
    <w:p>
      <w:pPr>
        <w:spacing w:after="120"/>
        <w:ind w:left="720" w:hanging="720"/>
      </w:pPr>
      <w:r>
        <w:t xml:space="preserve">[19]	H. Sakou et al., “Sign recognition apparatus and method and sign translation system using same,” U.S. Patent 5 887 069, Mar. 23, 1999.</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outlineLvl w:val="0"/>
    </w:pPr>
    <w:rPr>
      <w:rFonts w:ascii="Times New Roman" w:cs="Times New Roman" w:eastAsia="Times New Roman" w:hAnsi="Times New Roman"/>
      <w:b/>
      <w:bCs/>
      <w:color w:val="0000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02c9139c434bb7e4f13c477531585081007227e3.png"/><Relationship Id="rId8" Type="http://schemas.openxmlformats.org/officeDocument/2006/relationships/image" Target="media/fe38d32d813e544e742456374dce1e8e1b234c01.png"/><Relationship Id="rId9" Type="http://schemas.openxmlformats.org/officeDocument/2006/relationships/image" Target="media/2f8f4f60ba5b6065a1215a5c51d58c0fe791b4e8.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2026-09-24T23:59:42.620Z</dcterms:created>
  <dcterms:modified xsi:type="dcterms:W3CDTF">2026-09-24T23:59:42.621Z</dcterms:modified>
</cp:coreProperties>
</file>

<file path=docProps/custom.xml><?xml version="1.0" encoding="utf-8"?>
<Properties xmlns="http://schemas.openxmlformats.org/officeDocument/2006/custom-properties" xmlns:vt="http://schemas.openxmlformats.org/officeDocument/2006/docPropsVTypes"/>
</file>