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21 September 2026</w:t>
      </w:r>
    </w:p>
    <w:p>
      <w:r>
        <w:br w:type="page"/>
      </w:r>
    </w:p>
    <w:p>
      <w:pPr>
        <w:pStyle w:val="Heading1"/>
        <w:keepNext/>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keepNext/>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Three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bl>
    <w:p>
      <w:pPr>
        <w:pStyle w:val="Heading1"/>
        <w:keepNext/>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keepNext/>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keepNext/>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pPr>
        <w:pStyle w:val="Heading1"/>
        <w:keepNext/>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pPr>
        <w:pStyle w:val="Heading1"/>
        <w:keepNext/>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pPr>
        <w:pStyle w:val="Heading1"/>
        <w:keepNext/>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pPr>
        <w:pStyle w:val="Heading1"/>
        <w:keepNext/>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keepNext/>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keepNext/>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pPr>
        <w:pStyle w:val="Heading1"/>
        <w:keepNext/>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keepNext/>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65.45%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99.00%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78.81%</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keepNext/>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keepNext/>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(899f)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37.84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23.14</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0.78</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38.24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73.61</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161.93</w:t>
            </w:r>
          </w:p>
        </w:tc>
      </w:tr>
    </w:tbl>
    <w:p>
      <w:pPr>
        <w:spacing w:after="120" w:before="70"/>
      </w:pPr>
      <w:r>
        <w:rPr>
          <w:sz w:val="21"/>
          <w:szCs w:val="21"/>
        </w:rPr>
        <w:t xml:space="preserve">This is the overturned conclusion, and the two pipelines move in opposite directions. YOLO26 with SORT was 24 percent above the machine on 101 frames at 85.39 M/mL; on the full clip it lands at 73.61 M/mL against the machine's 69, an error of only 7 percent. Its immotile fraction also settles at 38.24 percent. More footage lets the tracker discard the short spurious tracks that false positives create, so the detector's weakness largely washes out at scale. Ground truth with SORT went the other way: 59.52 M/mL on 101 frames and 54.48 M/mL on the full clip, widening the gap from 14 to 21 percent. Its grades drifted too, with rapid rising from 49.55 to 56.43 percent and immotile falling from 20.72 to 18.5 percent, both away from the reference. Longer tracks give each cell more opportunity to accumulate displacement and be graded rapid, which means the close agreement seen on 101 frames was partly an artefact of the short window.</w:t>
      </w:r>
    </w:p>
    <w:p>
      <w:pPr>
        <w:pStyle w:val="Heading1"/>
        <w:keepNext/>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pPr>
        <w:pStyle w:val="Heading1"/>
        <w:keepNext/>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results depend on run order</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Importing the YOLOv5 modules changes YOLO26's low-confidence output; F1 shifts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Run each detector in a separate Python process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keepNext/>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This was narrowed down experimentally: merely importing the YOLOv5 repository modules is enough to change the outcome. OpenCV thread count and the confidence threshold were both ruled out as causes, so the import leaves global state that changes numerical behaviour.</w:t>
      </w:r>
    </w:p>
    <w:p>
      <w:pPr>
        <w:spacing w:after="120" w:before="0"/>
      </w:pPr>
      <w:r>
        <w:rPr>
          <w:sz w:val="21"/>
          <w:szCs w:val="21"/>
        </w:rPr>
        <w:t xml:space="preserve">The obvious candidate was OpenCV's thread count, which the YOLOv5 import drops from the default to one. That was tested directly rather than inferred, with a two-by-two design in which the import and the thread count were varied independently, each condition in its own process.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749"/>
        <w:gridCol w:w="1685"/>
        <w:gridCol w:w="1310"/>
        <w:gridCol w:w="1498"/>
        <w:gridCol w:w="1310"/>
        <w:gridCol w:w="1310"/>
        <w:gridCol w:w="1498"/>
      </w:tblGrid>
      <w:tr>
        <w:trPr>
          <w:tblHeader/>
        </w:trPr>
        <w:tc>
          <w:tcPr>
            <w:tcW w:type="dxa" w:w="749"/>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YOLOv5 imported</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cv2 threads</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Detections</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A</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B</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C</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80.97%</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D</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80.97%</w:t>
            </w:r>
          </w:p>
        </w:tc>
      </w:tr>
    </w:tbl>
    <w:p>
      <w:pPr>
        <w:spacing w:after="120" w:before="70"/>
      </w:pPr>
      <w:r>
        <w:rPr>
          <w:sz w:val="21"/>
          <w:szCs w:val="21"/>
        </w:rPr>
        <w:t xml:space="preserve">Varying the thread count on its own changes nothing: A and B are identical, and so are C and D. Varying the import with the thread count held equal does change the result: B against D differs by 387 detections. True positives are 4,120 in all four conditions. Thread count is therefore not the mechanism, and the import is sufficient on its own.</w:t>
      </w:r>
    </w:p>
    <w:p>
      <w:pPr>
        <w:spacing w:after="120" w:before="60"/>
      </w:pPr>
      <w:r>
        <w:rPr>
          <w:i/>
          <w:iCs/>
          <w:sz w:val="21"/>
          <w:szCs w:val="21"/>
        </w:rPr>
        <w:t xml:space="preserve">What this does not establish is which piece of global state the import leaves behind. The confidence threshold was also ruled out, since passing an explicit conf still shifts the result. Identifying the specific mechanism would require bisecting the YOLOv5 package imports, which was out of scope here. The finding should be read as: importing YOLOv5 is sufficient to change YOLO26 output. It is not a diagnosed root cause.</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isolated</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101 frames, after YOLOv5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Full clip, isolated</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78.81%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Full clip,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80,002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27,806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84.71%</w:t>
            </w:r>
          </w:p>
        </w:tc>
      </w:tr>
    </w:tbl>
    <w:p>
      <w:pPr>
        <w:spacing w:after="120" w:before="70"/>
      </w:pPr>
      <w:r>
        <w:rPr>
          <w:sz w:val="21"/>
          <w:szCs w:val="21"/>
        </w:rPr>
        <w:t xml:space="preserve">The pattern is consistent and it scales. On the 101-frame window, true positives agree to within three detections across three runs while false positives span a 47 percent range. On the full clip the agreement on true positives is still better than half a percent, 80,271 against 80,002, but the two runs differ by 14,563 false positives, a 52 percent spread. Recall is effectively identical in every run; precision is not.</w:t>
      </w:r>
    </w:p>
    <w:p>
      <w:pPr>
        <w:spacing w:after="120" w:before="60"/>
      </w:pPr>
      <w:r>
        <w:rPr>
          <w:b/>
          <w:bCs/>
          <w:sz w:val="21"/>
          <w:szCs w:val="21"/>
        </w:rPr>
        <w:t xml:space="preserve">The practical consequence is that a YOLO26 precision or F1 figure is not reproducible unless the run conditions are stated. F1 for the same model on the same data ranges from 77 to 85 percent across these five runs. Any benchmark table should record whether another detector ran first in the same process, and the safe practice is to run each detector in a fresh process.</w:t>
      </w:r>
    </w:p>
    <w:p>
      <w:pPr>
        <w:pStyle w:val="Heading2"/>
        <w:keepNext/>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pPr>
        <w:pStyle w:val="Heading1"/>
        <w:keepNext/>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The YOLO26 ordering defect makes benchmark numbers depend on run order. This is the highest-priority fix.</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The video is loaded as one contiguous array, so the usable clip length is bounded by the largest free memory block rather than by total memory. Chunked or memory-mapped loading would remove that coupling.</w:t>
      </w:r>
    </w:p>
    <w:p>
      <w:pPr>
        <w:spacing w:after="60" w:before="140"/>
      </w:pPr>
      <w:r>
        <w:rPr>
          <w:b/>
          <w:bCs/>
          <w:sz w:val="21"/>
          <w:szCs w:val="21"/>
        </w:rPr>
        <w:t xml:space="preserve">Open question for the group:</w:t>
      </w:r>
    </w:p>
    <w:p>
      <w:pPr>
        <w:spacing w:after="120" w:before="0"/>
      </w:pPr>
      <w:r>
        <w:rPr>
          <w:sz w:val="21"/>
          <w:szCs w:val="21"/>
        </w:rPr>
        <w:t xml:space="preserve">The two pipelines diverge, and only one of them behaves the way more data should make it behave. YOLO26 with SORT converges on the machine once the full clip is used, ending within 7 percent on concentration. Ground truth with SORT does the opposite: it under-reports by a fifth and the gap widens with more footage. Since these are the dataset's own annotations, the detector cannot be blamed for it. Two explanations are worth testing. The commercial machine may count cells that the annotation protocol excludes, such as debris-adjacent or partially out-of-focus heads, which would make the ground truth a systematically sparser count than the machine's. Alternatively the imaged volume implied by um_per_px and chamber depth may not match the volume the machine samples, which would be a calibration question rather than an annotation one. Resolving this matters because it decides whether pycasa's concentration output can be compared to a commercial report at all, or only to itself.</w:t>
      </w:r>
    </w:p>
    <w:p>
      <w:pPr>
        <w:pStyle w:val="Heading2"/>
        <w:keepNext/>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2026-09-22T01:45:30.960Z</dcterms:created>
  <dcterms:modified xsi:type="dcterms:W3CDTF">2026-09-22T01:45:30.961Z</dcterms:modified>
</cp:coreProperties>
</file>

<file path=docProps/custom.xml><?xml version="1.0" encoding="utf-8"?>
<Properties xmlns="http://schemas.openxmlformats.org/officeDocument/2006/custom-properties" xmlns:vt="http://schemas.openxmlformats.org/officeDocument/2006/docPropsVTypes"/>
</file>