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Агапова Анна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10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1.Создаю каталог для программам лабораторной работы № 6, перехожу в него и создаю файл lab6-1.asm.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200400" cy="34093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p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40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2.Ввожу в файл lab6-1.asm текст программы из листинга 6.1.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2609850" cy="223837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p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2238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 текста программы</w:t>
            </w:r>
          </w:p>
          <w:bookmarkEnd w:id="28"/>
        </w:tc>
      </w:tr>
    </w:tbl>
    <w:p>
      <w:pPr>
        <w:pStyle w:val="BodyText"/>
      </w:pPr>
      <w:r>
        <w:t xml:space="preserve">3.Создаю исполняемый файл и запускаю его.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200400" cy="33798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p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37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исполняемого файла</w:t>
            </w:r>
          </w:p>
          <w:bookmarkEnd w:id="32"/>
        </w:tc>
      </w:tr>
    </w:tbl>
    <w:p>
      <w:pPr>
        <w:pStyle w:val="BodyText"/>
      </w:pPr>
      <w:r>
        <w:t xml:space="preserve">4.Далее изменю текст программы и вместо символов, запишу в регистры числа.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2867025" cy="22860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p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Исправление текста программы</w:t>
            </w:r>
          </w:p>
          <w:bookmarkEnd w:id="36"/>
        </w:tc>
      </w:tr>
    </w:tbl>
    <w:p>
      <w:pPr>
        <w:pStyle w:val="BodyText"/>
      </w:pPr>
      <w:r>
        <w:t xml:space="preserve">5.Создаю исполняемый файл и запускаю его.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200400" cy="43409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p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34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исполняемого файла</w:t>
            </w:r>
          </w:p>
          <w:bookmarkEnd w:id="40"/>
        </w:tc>
      </w:tr>
    </w:tbl>
    <w:p>
      <w:pPr>
        <w:pStyle w:val="BodyText"/>
      </w:pPr>
      <w:r>
        <w:t xml:space="preserve">6.Создаю файл lab6-2.asm в каталоге ~/work/arch-pc/lab06 и проверяю его наличие.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200400" cy="27512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p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75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файла</w:t>
            </w:r>
          </w:p>
          <w:bookmarkEnd w:id="44"/>
        </w:tc>
      </w:tr>
    </w:tbl>
    <w:p>
      <w:pPr>
        <w:pStyle w:val="BodyText"/>
      </w:pPr>
      <w:r>
        <w:t xml:space="preserve">7.Ввожу в созданный файл текст программы из листинга 6.2.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2867025" cy="176212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p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Ввод текста программы</w:t>
            </w:r>
          </w:p>
          <w:bookmarkEnd w:id="48"/>
        </w:tc>
      </w:tr>
    </w:tbl>
    <w:p>
      <w:pPr>
        <w:pStyle w:val="BodyText"/>
      </w:pPr>
      <w:r>
        <w:t xml:space="preserve">8.Создаю исполняемый файл и запускаю его.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200400" cy="340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p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4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исполняемого файла</w:t>
            </w:r>
          </w:p>
          <w:bookmarkEnd w:id="52"/>
        </w:tc>
      </w:tr>
    </w:tbl>
    <w:p>
      <w:pPr>
        <w:pStyle w:val="BodyText"/>
      </w:pPr>
      <w:r>
        <w:t xml:space="preserve">9.Аналогично предыдущему примеру изменю символы на числа.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2981325" cy="18669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p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325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Изменение текста программы</w:t>
            </w:r>
          </w:p>
          <w:bookmarkEnd w:id="56"/>
        </w:tc>
      </w:tr>
    </w:tbl>
    <w:p>
      <w:pPr>
        <w:pStyle w:val="BodyText"/>
      </w:pPr>
      <w:r>
        <w:t xml:space="preserve">10.Создаю исполняемый файл и запускаю его. (рис.</w:t>
      </w:r>
      <w:r>
        <w:t xml:space="preserve"> </w:t>
      </w:r>
      <w:hyperlink w:anchor="fig-0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0"/>
          <w:p>
            <w:pPr>
              <w:pStyle w:val="Compact"/>
              <w:jc w:val="center"/>
            </w:pPr>
            <w:r>
              <w:drawing>
                <wp:inline>
                  <wp:extent cx="3200400" cy="37446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p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74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исполняемого файла</w:t>
            </w:r>
          </w:p>
          <w:bookmarkEnd w:id="60"/>
        </w:tc>
      </w:tr>
    </w:tbl>
    <w:p>
      <w:pPr>
        <w:pStyle w:val="BodyText"/>
      </w:pPr>
      <w:r>
        <w:t xml:space="preserve">11.Заменю функцию iprintLF на iprint. (рис.</w:t>
      </w:r>
      <w:r>
        <w:t xml:space="preserve"> </w:t>
      </w:r>
      <w:hyperlink w:anchor="fig-0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1"/>
          <w:p>
            <w:pPr>
              <w:pStyle w:val="Compact"/>
              <w:jc w:val="center"/>
            </w:pPr>
            <w:r>
              <w:drawing>
                <wp:inline>
                  <wp:extent cx="3000375" cy="20097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p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200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Изменение текста программы</w:t>
            </w:r>
          </w:p>
          <w:bookmarkEnd w:id="64"/>
        </w:tc>
      </w:tr>
    </w:tbl>
    <w:p>
      <w:pPr>
        <w:pStyle w:val="BodyText"/>
      </w:pPr>
      <w:r>
        <w:t xml:space="preserve">12.Создаю исполняемый файл и запускаю его. (рис.</w:t>
      </w:r>
      <w:r>
        <w:t xml:space="preserve"> </w:t>
      </w:r>
      <w:hyperlink w:anchor="fig-0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2"/>
          <w:p>
            <w:pPr>
              <w:pStyle w:val="Compact"/>
              <w:jc w:val="center"/>
            </w:pPr>
            <w:r>
              <w:drawing>
                <wp:inline>
                  <wp:extent cx="3200400" cy="36761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p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67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исполняемого файла</w:t>
            </w:r>
          </w:p>
          <w:bookmarkEnd w:id="68"/>
        </w:tc>
      </w:tr>
    </w:tbl>
    <w:p>
      <w:pPr>
        <w:pStyle w:val="BodyText"/>
      </w:pPr>
      <w:r>
        <w:t xml:space="preserve">13.Создаю файл lab6-3.asm в каталоге ~/work/arch-pc/lab06 и проверяю его наличие. (рис.</w:t>
      </w:r>
      <w:r>
        <w:t xml:space="preserve"> </w:t>
      </w:r>
      <w:hyperlink w:anchor="fig-0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3"/>
          <w:p>
            <w:pPr>
              <w:pStyle w:val="Compact"/>
              <w:jc w:val="center"/>
            </w:pPr>
            <w:r>
              <w:drawing>
                <wp:inline>
                  <wp:extent cx="3200400" cy="25286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p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52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файла</w:t>
            </w:r>
          </w:p>
          <w:bookmarkEnd w:id="72"/>
        </w:tc>
      </w:tr>
    </w:tbl>
    <w:p>
      <w:pPr>
        <w:pStyle w:val="BodyText"/>
      </w:pPr>
      <w:r>
        <w:t xml:space="preserve">14.Внимательно изучаю текст программы из листинга 6.3 и ввожу в lab6-3.asm для вычисления арифметического выражения 𝑓(𝑥) = (5 ∗ 2 + 3)/3. (рис.</w:t>
      </w:r>
      <w:r>
        <w:t xml:space="preserve"> </w:t>
      </w:r>
      <w:hyperlink w:anchor="fig-0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4"/>
          <w:p>
            <w:pPr>
              <w:pStyle w:val="Compact"/>
              <w:jc w:val="center"/>
            </w:pPr>
            <w:r>
              <w:drawing>
                <wp:inline>
                  <wp:extent cx="3200400" cy="288511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p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885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Ввод текста программы</w:t>
            </w:r>
          </w:p>
          <w:bookmarkEnd w:id="76"/>
        </w:tc>
      </w:tr>
    </w:tbl>
    <w:p>
      <w:pPr>
        <w:pStyle w:val="BodyText"/>
      </w:pPr>
      <w:r>
        <w:t xml:space="preserve">15.Создаю исполняемый файл и запускаю его. (рис.</w:t>
      </w:r>
      <w:r>
        <w:t xml:space="preserve"> </w:t>
      </w:r>
      <w:hyperlink w:anchor="fig-0015">
        <w:r>
          <w:rPr>
            <w:rStyle w:val="Hyperlink"/>
          </w:rPr>
          <w:t xml:space="preserve">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5"/>
          <w:p>
            <w:pPr>
              <w:pStyle w:val="Compact"/>
              <w:jc w:val="center"/>
            </w:pPr>
            <w:r>
              <w:drawing>
                <wp:inline>
                  <wp:extent cx="3200400" cy="45236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p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52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исполняемого файла</w:t>
            </w:r>
          </w:p>
          <w:bookmarkEnd w:id="80"/>
        </w:tc>
      </w:tr>
    </w:tbl>
    <w:p>
      <w:pPr>
        <w:pStyle w:val="BodyText"/>
      </w:pPr>
      <w:r>
        <w:t xml:space="preserve">16.Меняю текст программы для вычисления выражения 𝑓(𝑥) = (4 ∗ 6 + 2)/5. (рис.</w:t>
      </w:r>
      <w:r>
        <w:t xml:space="preserve"> </w:t>
      </w:r>
      <w:hyperlink w:anchor="fig-0016">
        <w:r>
          <w:rPr>
            <w:rStyle w:val="Hyperlink"/>
          </w:rPr>
          <w:t xml:space="preserve">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016"/>
          <w:p>
            <w:pPr>
              <w:pStyle w:val="Compact"/>
              <w:jc w:val="center"/>
            </w:pPr>
            <w:r>
              <w:drawing>
                <wp:inline>
                  <wp:extent cx="3200400" cy="329593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p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295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Изменение текста программы</w:t>
            </w:r>
          </w:p>
          <w:bookmarkEnd w:id="84"/>
        </w:tc>
      </w:tr>
    </w:tbl>
    <w:p>
      <w:pPr>
        <w:pStyle w:val="BodyText"/>
      </w:pPr>
      <w:r>
        <w:t xml:space="preserve">17.Создаю исполняемый файл и запускаю его. (рис.</w:t>
      </w:r>
      <w:r>
        <w:t xml:space="preserve"> </w:t>
      </w:r>
      <w:hyperlink w:anchor="fig-0017">
        <w:r>
          <w:rPr>
            <w:rStyle w:val="Hyperlink"/>
          </w:rPr>
          <w:t xml:space="preserve">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017"/>
          <w:p>
            <w:pPr>
              <w:pStyle w:val="Compact"/>
              <w:jc w:val="center"/>
            </w:pPr>
            <w:r>
              <w:drawing>
                <wp:inline>
                  <wp:extent cx="3200400" cy="45845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p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58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исполняемого файла</w:t>
            </w:r>
          </w:p>
          <w:bookmarkEnd w:id="88"/>
        </w:tc>
      </w:tr>
    </w:tbl>
    <w:p>
      <w:pPr>
        <w:pStyle w:val="BodyText"/>
      </w:pPr>
      <w:r>
        <w:t xml:space="preserve">18.Создаю файл variant.asm в каталоге ~/work/arch-pc/lab06 и проверяю его наличие. (рис.</w:t>
      </w:r>
      <w:r>
        <w:t xml:space="preserve"> </w:t>
      </w:r>
      <w:hyperlink w:anchor="fig-0018">
        <w:r>
          <w:rPr>
            <w:rStyle w:val="Hyperlink"/>
          </w:rPr>
          <w:t xml:space="preserve">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018"/>
          <w:p>
            <w:pPr>
              <w:pStyle w:val="Compact"/>
              <w:jc w:val="center"/>
            </w:pPr>
            <w:r>
              <w:drawing>
                <wp:inline>
                  <wp:extent cx="3200400" cy="1943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p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Создание файла</w:t>
            </w:r>
          </w:p>
          <w:bookmarkEnd w:id="92"/>
        </w:tc>
      </w:tr>
    </w:tbl>
    <w:p>
      <w:pPr>
        <w:pStyle w:val="BodyText"/>
      </w:pPr>
      <w:r>
        <w:t xml:space="preserve">19.Внимательно изучаю текст программы из листинга 6.4 и ввожу в файл variant.asm. (рис.</w:t>
      </w:r>
      <w:r>
        <w:t xml:space="preserve"> </w:t>
      </w:r>
      <w:hyperlink w:anchor="fig-0019">
        <w:r>
          <w:rPr>
            <w:rStyle w:val="Hyperlink"/>
          </w:rPr>
          <w:t xml:space="preserve">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019"/>
          <w:p>
            <w:pPr>
              <w:pStyle w:val="Compact"/>
              <w:jc w:val="center"/>
            </w:pPr>
            <w:r>
              <w:drawing>
                <wp:inline>
                  <wp:extent cx="3200400" cy="372838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p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728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Ввод текста программы</w:t>
            </w:r>
          </w:p>
          <w:bookmarkEnd w:id="96"/>
        </w:tc>
      </w:tr>
    </w:tbl>
    <w:p>
      <w:pPr>
        <w:pStyle w:val="BodyText"/>
      </w:pPr>
      <w:r>
        <w:t xml:space="preserve">20.Создаю исполняемый файл и запускаю его. (рис.</w:t>
      </w:r>
      <w:r>
        <w:t xml:space="preserve"> </w:t>
      </w:r>
      <w:hyperlink w:anchor="fig-0020">
        <w:r>
          <w:rPr>
            <w:rStyle w:val="Hyperlink"/>
          </w:rPr>
          <w:t xml:space="preserve">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20"/>
          <w:p>
            <w:pPr>
              <w:pStyle w:val="Compact"/>
              <w:jc w:val="center"/>
            </w:pPr>
            <w:r>
              <w:drawing>
                <wp:inline>
                  <wp:extent cx="3200400" cy="51457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p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14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Запуск исполняемого файла</w:t>
            </w:r>
          </w:p>
          <w:bookmarkEnd w:id="100"/>
        </w:tc>
      </w:tr>
    </w:tbl>
    <w:bookmarkEnd w:id="101"/>
    <w:bookmarkStart w:id="102" w:name="ответы-на-вопросы"/>
    <w:p>
      <w:pPr>
        <w:pStyle w:val="Heading1"/>
      </w:pPr>
      <w:r>
        <w:t xml:space="preserve">3. Ответы на вопросы</w:t>
      </w:r>
    </w:p>
    <w:p>
      <w:pPr>
        <w:pStyle w:val="FirstParagraph"/>
      </w:pPr>
      <w:r>
        <w:t xml:space="preserve">1.За вывод сообщения</w:t>
      </w:r>
      <w:r>
        <w:t xml:space="preserve"> </w:t>
      </w:r>
      <w:r>
        <w:t xml:space="preserve">“Ваш вариант”</w:t>
      </w:r>
      <w:r>
        <w:t xml:space="preserve"> </w:t>
      </w:r>
      <w:r>
        <w:t xml:space="preserve">отвечают строки кода:</w:t>
      </w:r>
    </w:p>
    <w:p>
      <w:pPr>
        <w:pStyle w:val="BodyText"/>
      </w:pPr>
      <w:r>
        <w:t xml:space="preserve">mov eax,rem</w:t>
      </w:r>
    </w:p>
    <w:p>
      <w:pPr>
        <w:pStyle w:val="BodyText"/>
      </w:pPr>
      <w:r>
        <w:t xml:space="preserve">call sprint</w:t>
      </w:r>
    </w:p>
    <w:p>
      <w:pPr>
        <w:pStyle w:val="BodyText"/>
      </w:pPr>
      <w:r>
        <w:t xml:space="preserve">2.Инструкция mov ecx, x используется, чтобы поместить адрес вводимой строки x в регистр ecx, mov edx, 80 - задаёт максимальную длину ввода, call sread - вызывает функцию чтения строки с клавиатуры.</w:t>
      </w:r>
    </w:p>
    <w:p>
      <w:pPr>
        <w:pStyle w:val="BodyText"/>
      </w:pPr>
      <w:r>
        <w:t xml:space="preserve">3.call atoi используется для преобразования строки ASCII-коды в число и записывает результат в eax.</w:t>
      </w:r>
    </w:p>
    <w:p>
      <w:pPr>
        <w:pStyle w:val="BodyText"/>
      </w:pPr>
      <w:r>
        <w:t xml:space="preserve">4.За вычисления варианта отвечают строки:</w:t>
      </w:r>
    </w:p>
    <w:p>
      <w:pPr>
        <w:pStyle w:val="BodyText"/>
      </w:pPr>
      <w:r>
        <w:t xml:space="preserve">xor edx,edx</w:t>
      </w:r>
    </w:p>
    <w:p>
      <w:pPr>
        <w:pStyle w:val="BodyText"/>
      </w:pPr>
      <w:r>
        <w:t xml:space="preserve">mov ebx,20</w:t>
      </w:r>
    </w:p>
    <w:p>
      <w:pPr>
        <w:pStyle w:val="BodyText"/>
      </w:pPr>
      <w:r>
        <w:t xml:space="preserve">div ebx</w:t>
      </w:r>
    </w:p>
    <w:p>
      <w:pPr>
        <w:pStyle w:val="BodyText"/>
      </w:pPr>
      <w:r>
        <w:t xml:space="preserve">inc edx</w:t>
      </w:r>
    </w:p>
    <w:p>
      <w:pPr>
        <w:pStyle w:val="BodyText"/>
      </w:pPr>
      <w:r>
        <w:t xml:space="preserve">5.Остаток записывается в регистр edx.</w:t>
      </w:r>
    </w:p>
    <w:p>
      <w:pPr>
        <w:pStyle w:val="BodyText"/>
      </w:pPr>
      <w:r>
        <w:t xml:space="preserve">6.inc edx используется для увелечения остатка на 1.</w:t>
      </w:r>
    </w:p>
    <w:p>
      <w:pPr>
        <w:pStyle w:val="BodyText"/>
      </w:pPr>
      <w:r>
        <w:t xml:space="preserve">7.За вывод на экран результатов вычислений отвечают строки:</w:t>
      </w:r>
    </w:p>
    <w:p>
      <w:pPr>
        <w:pStyle w:val="BodyText"/>
      </w:pPr>
      <w:r>
        <w:t xml:space="preserve">mov eax,rem</w:t>
      </w:r>
    </w:p>
    <w:p>
      <w:pPr>
        <w:pStyle w:val="BodyText"/>
      </w:pPr>
      <w:r>
        <w:t xml:space="preserve">call sprint</w:t>
      </w:r>
    </w:p>
    <w:p>
      <w:pPr>
        <w:pStyle w:val="BodyText"/>
      </w:pPr>
      <w:r>
        <w:t xml:space="preserve">mov eax,edx</w:t>
      </w:r>
    </w:p>
    <w:p>
      <w:pPr>
        <w:pStyle w:val="BodyText"/>
      </w:pPr>
      <w:r>
        <w:t xml:space="preserve">call iprintLf</w:t>
      </w:r>
    </w:p>
    <w:bookmarkEnd w:id="102"/>
    <w:bookmarkStart w:id="119" w:name="задание-для-самостоятельной-работы"/>
    <w:p>
      <w:pPr>
        <w:pStyle w:val="Heading1"/>
      </w:pPr>
      <w:r>
        <w:t xml:space="preserve">4. Задание для самостоятельной работы</w:t>
      </w:r>
    </w:p>
    <w:p>
      <w:pPr>
        <w:pStyle w:val="FirstParagraph"/>
      </w:pPr>
      <w:r>
        <w:t xml:space="preserve">1.Создаю файл lab6-4.asm в каталоге ~/work/arch-pc/lab06 и проверяю его наличие. (рис.</w:t>
      </w:r>
      <w:r>
        <w:t xml:space="preserve"> </w:t>
      </w:r>
      <w:hyperlink w:anchor="fig-0021">
        <w:r>
          <w:rPr>
            <w:rStyle w:val="Hyperlink"/>
          </w:rPr>
          <w:t xml:space="preserve">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021"/>
          <w:p>
            <w:pPr>
              <w:pStyle w:val="Compact"/>
              <w:jc w:val="center"/>
            </w:pPr>
            <w:r>
              <w:drawing>
                <wp:inline>
                  <wp:extent cx="3200400" cy="15405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p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4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Создание файла</w:t>
            </w:r>
          </w:p>
          <w:bookmarkEnd w:id="106"/>
        </w:tc>
      </w:tr>
    </w:tbl>
    <w:p>
      <w:pPr>
        <w:pStyle w:val="BodyText"/>
      </w:pPr>
      <w:r>
        <w:t xml:space="preserve">2.Ввожу в созданный файл программу для вычисления арифметического выражения, которое указано в 14 варианте. (рис.</w:t>
      </w:r>
      <w:r>
        <w:t xml:space="preserve"> </w:t>
      </w:r>
      <w:hyperlink w:anchor="fig-0022">
        <w:r>
          <w:rPr>
            <w:rStyle w:val="Hyperlink"/>
          </w:rPr>
          <w:t xml:space="preserve">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22"/>
          <w:p>
            <w:pPr>
              <w:pStyle w:val="Compact"/>
              <w:jc w:val="center"/>
            </w:pPr>
            <w:r>
              <w:drawing>
                <wp:inline>
                  <wp:extent cx="3200400" cy="547205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p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472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Ввод текста программы</w:t>
            </w:r>
          </w:p>
          <w:bookmarkEnd w:id="110"/>
        </w:tc>
      </w:tr>
    </w:tbl>
    <w:p>
      <w:pPr>
        <w:pStyle w:val="BodyText"/>
      </w:pPr>
      <w:r>
        <w:t xml:space="preserve">3.Создаю исполняемый файл и запускаю его для x1=1. (рис.</w:t>
      </w:r>
      <w:r>
        <w:t xml:space="preserve"> </w:t>
      </w:r>
      <w:hyperlink w:anchor="fig-0023">
        <w:r>
          <w:rPr>
            <w:rStyle w:val="Hyperlink"/>
          </w:rPr>
          <w:t xml:space="preserve">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023"/>
          <w:p>
            <w:pPr>
              <w:pStyle w:val="Compact"/>
              <w:jc w:val="center"/>
            </w:pPr>
            <w:r>
              <w:drawing>
                <wp:inline>
                  <wp:extent cx="3200400" cy="530524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p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Запуск исполняемого файла</w:t>
            </w:r>
          </w:p>
          <w:bookmarkEnd w:id="114"/>
        </w:tc>
      </w:tr>
    </w:tbl>
    <w:p>
      <w:pPr>
        <w:pStyle w:val="BodyText"/>
      </w:pPr>
      <w:r>
        <w:t xml:space="preserve">4.Создаю исполняемый файл и запускаю его для x2=4. (рис.</w:t>
      </w:r>
      <w:r>
        <w:t xml:space="preserve"> </w:t>
      </w:r>
      <w:hyperlink w:anchor="fig-0024">
        <w:r>
          <w:rPr>
            <w:rStyle w:val="Hyperlink"/>
          </w:rPr>
          <w:t xml:space="preserve">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024"/>
          <w:p>
            <w:pPr>
              <w:pStyle w:val="Compact"/>
              <w:jc w:val="center"/>
            </w:pPr>
            <w:r>
              <w:drawing>
                <wp:inline>
                  <wp:extent cx="3200400" cy="50554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p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05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Запуск исполняемого файла</w:t>
            </w:r>
          </w:p>
          <w:bookmarkEnd w:id="118"/>
        </w:tc>
      </w:tr>
    </w:tbl>
    <w:bookmarkEnd w:id="119"/>
    <w:bookmarkStart w:id="12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лабораторной работы я освоила арифметические инструкции языка ассемблера NASM.</w:t>
      </w:r>
    </w:p>
    <w:bookmarkEnd w:id="120"/>
    <w:bookmarkStart w:id="121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GDB: The GNU Project Debugger. — URL: https://www.gnu.org/software/gdb/.</w:t>
      </w:r>
    </w:p>
    <w:p>
      <w:pPr>
        <w:pStyle w:val="Compact"/>
        <w:numPr>
          <w:ilvl w:val="0"/>
          <w:numId w:val="1001"/>
        </w:numPr>
      </w:pPr>
      <w:r>
        <w:t xml:space="preserve">GNU Bash Manual. — 2016. — URL: https://www.gnu.org/software/bash/manual/.</w:t>
      </w:r>
    </w:p>
    <w:p>
      <w:pPr>
        <w:pStyle w:val="Compact"/>
        <w:numPr>
          <w:ilvl w:val="0"/>
          <w:numId w:val="1001"/>
        </w:numPr>
      </w:pPr>
      <w:r>
        <w:t xml:space="preserve">Midnight Commander Development Center. — 2021. — URL: https://midnight-commander.</w:t>
      </w:r>
      <w:r>
        <w:t xml:space="preserve"> </w:t>
      </w:r>
      <w:r>
        <w:t xml:space="preserve">org/.</w:t>
      </w:r>
    </w:p>
    <w:p>
      <w:pPr>
        <w:pStyle w:val="Compact"/>
        <w:numPr>
          <w:ilvl w:val="0"/>
          <w:numId w:val="1001"/>
        </w:numPr>
      </w:pPr>
      <w:r>
        <w:t xml:space="preserve">NASM Assembly Language Tutorials. — 2021. — URL: https://asmtutor.com/.</w:t>
      </w:r>
    </w:p>
    <w:p>
      <w:pPr>
        <w:pStyle w:val="Compact"/>
        <w:numPr>
          <w:ilvl w:val="0"/>
          <w:numId w:val="1001"/>
        </w:numPr>
      </w:pPr>
      <w:r>
        <w:t xml:space="preserve">Newham C. Learning the bash Shell: Unix Shell Programming. — O’Reilly Media, 2005. —</w:t>
      </w:r>
      <w:r>
        <w:t xml:space="preserve"> </w:t>
      </w:r>
      <w:r>
        <w:t xml:space="preserve">354 с. — (In a Nutshell). — ISBN 0596009658. — URL: http://www.amazon.com/Learningbash-Shell-Programming-Nutshell/dp/0596009658.</w:t>
      </w:r>
    </w:p>
    <w:p>
      <w:pPr>
        <w:pStyle w:val="Compact"/>
        <w:numPr>
          <w:ilvl w:val="0"/>
          <w:numId w:val="1001"/>
        </w:numPr>
      </w:pPr>
      <w:r>
        <w:t xml:space="preserve">Robbins A. Bash Pocket Reference. — O’Reilly Media, 2016. — 156 с. — ISBN 978-1491941591.</w:t>
      </w:r>
    </w:p>
    <w:p>
      <w:pPr>
        <w:pStyle w:val="Compact"/>
        <w:numPr>
          <w:ilvl w:val="0"/>
          <w:numId w:val="1001"/>
        </w:numPr>
      </w:pPr>
      <w:r>
        <w:t xml:space="preserve">The NASM documentation. — 2021. — URL: https://www.nasm.us/docs.php.</w:t>
      </w:r>
    </w:p>
    <w:p>
      <w:pPr>
        <w:pStyle w:val="Compact"/>
        <w:numPr>
          <w:ilvl w:val="0"/>
          <w:numId w:val="1001"/>
        </w:numPr>
      </w:pPr>
      <w:r>
        <w:t xml:space="preserve">Zarrelli G. Mastering Bash. — Packt Publishing, 2017. — 502 с. — ISBN 9781784396879.</w:t>
      </w:r>
    </w:p>
    <w:p>
      <w:pPr>
        <w:pStyle w:val="Compact"/>
        <w:numPr>
          <w:ilvl w:val="0"/>
          <w:numId w:val="1001"/>
        </w:numPr>
      </w:pPr>
      <w:r>
        <w:t xml:space="preserve">Колдаев В. Д., Лупин С. А. Архитектура ЭВМ. — М. : Форум, 2018.</w:t>
      </w:r>
    </w:p>
    <w:p>
      <w:pPr>
        <w:pStyle w:val="Compact"/>
        <w:numPr>
          <w:ilvl w:val="0"/>
          <w:numId w:val="1001"/>
        </w:numPr>
      </w:pPr>
      <w:r>
        <w:t xml:space="preserve">Куляс О. Л., Никитин К. А. Курс программирования на ASSEMBLER. — М. : Солон-Пресс,</w:t>
      </w:r>
    </w:p>
    <w:p>
      <w:pPr>
        <w:pStyle w:val="Compact"/>
        <w:numPr>
          <w:ilvl w:val="0"/>
          <w:numId w:val="1001"/>
        </w:numPr>
      </w:pPr>
      <w:r>
        <w:t xml:space="preserve">Новожилов О. П. Архитектура ЭВМ и систем. — М. : Юрайт, 2016.</w:t>
      </w:r>
    </w:p>
    <w:p>
      <w:pPr>
        <w:pStyle w:val="Compact"/>
        <w:numPr>
          <w:ilvl w:val="0"/>
          <w:numId w:val="1001"/>
        </w:numPr>
      </w:pPr>
      <w:r>
        <w:t xml:space="preserve">Расширенный ассемблер: NASM. — 2021. — URL: https://www.opennet.ru/docs/RUS/nasm/.</w:t>
      </w:r>
    </w:p>
    <w:p>
      <w:pPr>
        <w:pStyle w:val="Compact"/>
        <w:numPr>
          <w:ilvl w:val="0"/>
          <w:numId w:val="1001"/>
        </w:numPr>
      </w:pPr>
      <w:r>
        <w:t xml:space="preserve">Робачевский А., Немнюгин С., Стесик О. Операционная система UNIX. — 2-е изд. — БХВПетербург, 2010. — 656 с. — ISBN 978-5-94157-538-1.</w:t>
      </w:r>
    </w:p>
    <w:p>
      <w:pPr>
        <w:pStyle w:val="Compact"/>
        <w:numPr>
          <w:ilvl w:val="0"/>
          <w:numId w:val="1001"/>
        </w:numPr>
      </w:pPr>
      <w:r>
        <w:t xml:space="preserve">Столяров А. Программирование на языке ассемблера NASM для ОС Unix. — 2-е изд. —</w:t>
      </w:r>
      <w:r>
        <w:t xml:space="preserve"> </w:t>
      </w:r>
      <w:r>
        <w:t xml:space="preserve">М. : МАКС Пресс, 2011. — URL: http://www.stolyarov.info/books/asm_unix.</w:t>
      </w:r>
    </w:p>
    <w:p>
      <w:pPr>
        <w:pStyle w:val="Compact"/>
        <w:numPr>
          <w:ilvl w:val="0"/>
          <w:numId w:val="1001"/>
        </w:numPr>
      </w:pPr>
      <w:r>
        <w:t xml:space="preserve">Таненбаум Э. Архитектура компьютера. — 6-е изд. — СПб. : Питер, 2013. — 874 с. —</w:t>
      </w:r>
      <w:r>
        <w:t xml:space="preserve"> </w:t>
      </w:r>
      <w:r>
        <w:t xml:space="preserve">(Классика Computer Science).</w:t>
      </w:r>
    </w:p>
    <w:p>
      <w:pPr>
        <w:pStyle w:val="Compact"/>
        <w:numPr>
          <w:ilvl w:val="0"/>
          <w:numId w:val="1001"/>
        </w:numPr>
      </w:pPr>
      <w:r>
        <w:t xml:space="preserve">Таненбаум Э., Бос Х. Современные операционные системы. — 4-е изд. — СПб. : Питер,2015. — 1120 с. — (Классика Computer Science).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Агапова Анна Антоновна</dc:creator>
  <dc:language>ru-RU</dc:language>
  <cp:keywords/>
  <dcterms:created xsi:type="dcterms:W3CDTF">2025-12-15T23:34:17Z</dcterms:created>
  <dcterms:modified xsi:type="dcterms:W3CDTF">2025-12-15T23:34:17Z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Архитектура компьютера</vt:lpwstr>
  </property>
  <property fmtid="{D5CDD505-2E9C-101B-9397-08002B2CF9AE}" pid="15" name="toc-title">
    <vt:lpwstr>Содержание</vt:lpwstr>
  </property>
</Properties>
</file>