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35dywa0xnv" w:id="0"/>
      <w:bookmarkEnd w:id="0"/>
      <w:r w:rsidDel="00000000" w:rsidR="00000000" w:rsidRPr="00000000">
        <w:rPr>
          <w:rtl w:val="0"/>
        </w:rPr>
        <w:t xml:space="preserve">Регрессия как задача машинного обучения</w:t>
      </w:r>
    </w:p>
    <w:p w:rsidR="00000000" w:rsidDel="00000000" w:rsidP="00000000" w:rsidRDefault="00000000" w:rsidRPr="00000000" w14:paraId="00000002">
      <w:pPr>
        <w:pStyle w:val="Heading2"/>
        <w:spacing w:before="720" w:lineRule="auto"/>
        <w:rPr/>
      </w:pPr>
      <w:bookmarkStart w:colFirst="0" w:colLast="0" w:name="_y6v6qo99csa0" w:id="1"/>
      <w:bookmarkEnd w:id="1"/>
      <w:r w:rsidDel="00000000" w:rsidR="00000000" w:rsidRPr="00000000">
        <w:rPr>
          <w:rtl w:val="0"/>
        </w:rPr>
        <w:t xml:space="preserve">Линейная регрессия с одной переменной</w:t>
      </w:r>
    </w:p>
    <w:p w:rsidR="00000000" w:rsidDel="00000000" w:rsidP="00000000" w:rsidRDefault="00000000" w:rsidRPr="00000000" w14:paraId="00000003">
      <w:pPr>
        <w:pStyle w:val="Heading3"/>
        <w:rPr>
          <w:sz w:val="28"/>
          <w:szCs w:val="28"/>
        </w:rPr>
      </w:pPr>
      <w:bookmarkStart w:colFirst="0" w:colLast="0" w:name="_1t3h5sf" w:id="2"/>
      <w:bookmarkEnd w:id="2"/>
      <w:r w:rsidDel="00000000" w:rsidR="00000000" w:rsidRPr="00000000">
        <w:rPr>
          <w:sz w:val="28"/>
          <w:szCs w:val="28"/>
          <w:rtl w:val="0"/>
        </w:rPr>
        <w:t xml:space="preserve">Представление модели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Напомним, что в задачах регрессии мы принимаем входные переменные и пытаемся подогнать выход на непрерывную ожидаемую функцию результата. Линейная регрессия с одной переменной также известна как «парная линейная регрессия».</w:t>
      </w:r>
    </w:p>
    <w:p w:rsidR="00000000" w:rsidDel="00000000" w:rsidP="00000000" w:rsidRDefault="00000000" w:rsidRPr="00000000" w14:paraId="0000000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Одномерная линейная регрессия используется, когда вы хотите предсказать одно выходное значение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 зависящее от одного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. Мы проводим обучение с учителем, это означает, что мы уже имеем представление о том, какие значения выходной переменной соответствуют некоторым значениям входной переменной.</w:t>
      </w:r>
    </w:p>
    <w:p w:rsidR="00000000" w:rsidDel="00000000" w:rsidP="00000000" w:rsidRDefault="00000000" w:rsidRPr="00000000" w14:paraId="00000006">
      <w:pPr>
        <w:keepNext w:val="1"/>
        <w:keepLines w:val="1"/>
        <w:spacing w:before="480" w:line="360" w:lineRule="auto"/>
        <w:rPr>
          <w:rFonts w:ascii="Arial" w:cs="Arial" w:eastAsia="Arial" w:hAnsi="Arial"/>
          <w:b w:val="1"/>
          <w:color w:val="434343"/>
          <w:sz w:val="28"/>
          <w:szCs w:val="28"/>
        </w:rPr>
      </w:pPr>
      <w:bookmarkStart w:colFirst="0" w:colLast="0" w:name="_4d34og8" w:id="3"/>
      <w:bookmarkEnd w:id="3"/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Функция гипотезы</w:t>
      </w:r>
    </w:p>
    <w:p w:rsidR="00000000" w:rsidDel="00000000" w:rsidP="00000000" w:rsidRDefault="00000000" w:rsidRPr="00000000" w14:paraId="0000000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прогностическая функция (функция гипотезы, модель) имеет общий вид:</w:t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это похоже на уравнение прямой. в данном случае, мы пытаемся подобрать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</w:t>
      </w:r>
      <w:r w:rsidDel="00000000" w:rsidR="00000000" w:rsidRPr="00000000">
        <w:rPr>
          <w:sz w:val="28"/>
          <w:szCs w:val="28"/>
          <w:rtl w:val="0"/>
        </w:rPr>
        <w:t xml:space="preserve"> таким образом, чтобы отобразить данные нам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в данные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Допустим, мы имеем следующий обучающий набор данных:</w:t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50"/>
        <w:tblGridChange w:id="0">
          <w:tblGrid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составить случайную гипотезу с параметрами </w:t>
      </w:r>
      <w:hyperlink r:id="rId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901700" cy="139700"/>
              <wp:effectExtent b="0" l="0" r="0" t="0"/>
              <wp:docPr id="1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Тогда для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x=1, y=4</w:t>
      </w:r>
      <w:r w:rsidDel="00000000" w:rsidR="00000000" w:rsidRPr="00000000">
        <w:rPr>
          <w:sz w:val="28"/>
          <w:szCs w:val="28"/>
          <w:rtl w:val="0"/>
        </w:rPr>
        <w:t xml:space="preserve">, что на 3 меньше данного. Задача регрессии состоит в нахождении таких параметров функции гипотезы, чтобы она отображала входные значения в выходные как можно более точно, или, другими словами, описывала линию, наиболее точно ложащуюся в данные точки на плоскости (x, y). </w:t>
      </w:r>
    </w:p>
    <w:p w:rsidR="00000000" w:rsidDel="00000000" w:rsidP="00000000" w:rsidRDefault="00000000" w:rsidRPr="00000000" w14:paraId="00000017">
      <w:pPr>
        <w:pStyle w:val="Heading3"/>
        <w:rPr>
          <w:sz w:val="28"/>
          <w:szCs w:val="28"/>
        </w:rPr>
      </w:pPr>
      <w:bookmarkStart w:colFirst="0" w:colLast="0" w:name="_2s8eyo1" w:id="4"/>
      <w:bookmarkEnd w:id="4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1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измерить точность нашей функции гипотезы, используя функцию ошибки. Для этого требуется средняя (фактически чуть усложненная версия среднего арифметического) всех результатов вычисления гипотезы с входами x по сравнению с фактическим выходом y.</w:t>
      </w:r>
    </w:p>
    <w:p w:rsidR="00000000" w:rsidDel="00000000" w:rsidP="00000000" w:rsidRDefault="00000000" w:rsidRPr="00000000" w14:paraId="00000019">
      <w:pPr>
        <w:spacing w:before="200" w:lineRule="auto"/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0" cy="419100"/>
              <wp:effectExtent b="0" l="0" r="0" t="0"/>
              <wp:docPr id="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сути своей, это половина среднего квадрата разницы между прогнозируемым и фактическим значением выходной переменной.</w:t>
      </w:r>
    </w:p>
    <w:p w:rsidR="00000000" w:rsidDel="00000000" w:rsidP="00000000" w:rsidRDefault="00000000" w:rsidRPr="00000000" w14:paraId="0000001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Эту функцию называют «функцией квадрата ошибки» или «среднеквадратичной ошибкой» (mean squared error, MSE). Среднее значение уменьшено вдвое для удобства вычисления градиентного спуска, так как производная квадратичной функции будет отменять множитель 1/2.</w:t>
      </w:r>
    </w:p>
    <w:p w:rsidR="00000000" w:rsidDel="00000000" w:rsidP="00000000" w:rsidRDefault="00000000" w:rsidRPr="00000000" w14:paraId="0000001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можем конкретно измерить точность нашей предсказывающей функции по сравнению с правильными результатами, которые мы имеем, чтобы мы могли предсказать новые результаты, которых у нас нет.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попытаемся представить это наглядно, наш набор данных обучения будет разбросан по плоскости x-y. Мы пытаемся подобрать прямую линию, которая проходит через этот разбросанный набор данных. Наша цель - получить наилучшую возможную линию. Лучшая линия будет такой, чтобы средние квадраты вертикальных расстояний рассеянных точек от линии были наименьшими. В лучшем случае линия должна проходить через все точки нашего набора данных обучения. В таком случае значение J будет равно 0.</w:t>
      </w:r>
    </w:p>
    <w:p w:rsidR="00000000" w:rsidDel="00000000" w:rsidP="00000000" w:rsidRDefault="00000000" w:rsidRPr="00000000" w14:paraId="0000001E">
      <w:pPr>
        <w:pStyle w:val="Heading3"/>
        <w:rPr>
          <w:sz w:val="28"/>
          <w:szCs w:val="28"/>
        </w:rPr>
      </w:pPr>
      <w:bookmarkStart w:colFirst="0" w:colLast="0" w:name="_17dp8vu" w:id="5"/>
      <w:bookmarkEnd w:id="5"/>
      <w:r w:rsidDel="00000000" w:rsidR="00000000" w:rsidRPr="00000000">
        <w:rPr>
          <w:sz w:val="28"/>
          <w:szCs w:val="28"/>
          <w:rtl w:val="0"/>
        </w:rPr>
        <w:t xml:space="preserve">Метод градиентного спуска</w:t>
      </w:r>
    </w:p>
    <w:p w:rsidR="00000000" w:rsidDel="00000000" w:rsidP="00000000" w:rsidRDefault="00000000" w:rsidRPr="00000000" w14:paraId="0000001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у нас есть наша функция гипотезы, и у нас есть способ оценить, насколько хорошо конкретная гипотеза вписывается в данные. Теперь нам нужно подобрать параметры в функции гипотезы. Вот где приходит на помощь метод градиентного спуска.</w:t>
      </w:r>
    </w:p>
    <w:p w:rsidR="00000000" w:rsidDel="00000000" w:rsidP="00000000" w:rsidRDefault="00000000" w:rsidRPr="00000000" w14:paraId="0000002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Представьте себе, что мы нарисуем нашу функцию гипотезы на основе ее параметров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(фактически мы представляем график функции стоимости как функцию оценок параметров). </w:t>
      </w:r>
    </w:p>
    <w:p w:rsidR="00000000" w:rsidDel="00000000" w:rsidP="00000000" w:rsidRDefault="00000000" w:rsidRPr="00000000" w14:paraId="0000002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Отложим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на оси x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на оси y, с функцией стоимости на вертикальной оси z. Точки на нашем графике будут результатом функции стоимости, используя нашу гипотезу с этими конкретными параметрами.</w:t>
      </w:r>
    </w:p>
    <w:p w:rsidR="00000000" w:rsidDel="00000000" w:rsidP="00000000" w:rsidRDefault="00000000" w:rsidRPr="00000000" w14:paraId="0000002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будем знать, что нам удалось подобрать оптимальные параметры, когда наша функция стоимости находится в самом низу на нашем графике, то есть когда ее значение является минимальным.</w:t>
      </w:r>
    </w:p>
    <w:p w:rsidR="00000000" w:rsidDel="00000000" w:rsidP="00000000" w:rsidRDefault="00000000" w:rsidRPr="00000000" w14:paraId="0000002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То, как мы это делаем - это используя производную (касательную линию к функции) нашей функции стоимости. Наклон касательной является производной в этой точке, и это даст нам направление движения в сторону самого крутого уменьшения значения функции. Мы делаем шаги вниз по функции стоимости в направлении с самым крутым спусками, а размер каждого шага определяется параметром α, который называется скоростью обучения.</w:t>
      </w:r>
    </w:p>
    <w:p w:rsidR="00000000" w:rsidDel="00000000" w:rsidP="00000000" w:rsidRDefault="00000000" w:rsidRPr="00000000" w14:paraId="0000002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градиентного спуска:</w:t>
      </w:r>
    </w:p>
    <w:p w:rsidR="00000000" w:rsidDel="00000000" w:rsidP="00000000" w:rsidRDefault="00000000" w:rsidRPr="00000000" w14:paraId="00000025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повторяйте до сходимости: </w:t>
      </w:r>
    </w:p>
    <w:p w:rsidR="00000000" w:rsidDel="00000000" w:rsidP="00000000" w:rsidRDefault="00000000" w:rsidRPr="00000000" w14:paraId="00000026">
      <w:pPr>
        <w:spacing w:before="200" w:lineRule="auto"/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62100" cy="368300"/>
              <wp:effectExtent b="0" l="0" r="0" t="0"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j=0,1 - представляет собой индекс номера признака.</w:t>
      </w:r>
    </w:p>
    <w:p w:rsidR="00000000" w:rsidDel="00000000" w:rsidP="00000000" w:rsidRDefault="00000000" w:rsidRPr="00000000" w14:paraId="00000028">
      <w:pPr>
        <w:pStyle w:val="Heading2"/>
        <w:spacing w:before="720" w:lineRule="auto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Линейная регрессия с несколькими переменными</w:t>
      </w:r>
    </w:p>
    <w:p w:rsidR="00000000" w:rsidDel="00000000" w:rsidP="00000000" w:rsidRDefault="00000000" w:rsidRPr="00000000" w14:paraId="0000002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регрессия с несколькими переменными также известна как «множественная линейная регрессия». Введем обозначения для уравнений, где мы можем иметь любое количество входных переменных:</w:t>
      </w:r>
    </w:p>
    <w:p w:rsidR="00000000" w:rsidDel="00000000" w:rsidP="00000000" w:rsidRDefault="00000000" w:rsidRPr="00000000" w14:paraId="0000002A">
      <w:pPr>
        <w:spacing w:before="200" w:lineRule="auto"/>
        <w:rPr>
          <w:sz w:val="28"/>
          <w:szCs w:val="28"/>
        </w:rPr>
      </w:pPr>
      <w:hyperlink r:id="rId1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139700"/>
              <wp:effectExtent b="0" l="0" r="0" t="0"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вектор-столбец всех значений признаков i-го обучающего примера;</w:t>
      </w:r>
    </w:p>
    <w:p w:rsidR="00000000" w:rsidDel="00000000" w:rsidP="00000000" w:rsidRDefault="00000000" w:rsidRPr="00000000" w14:paraId="0000002B">
      <w:pPr>
        <w:spacing w:before="200" w:lineRule="auto"/>
        <w:rPr>
          <w:sz w:val="28"/>
          <w:szCs w:val="28"/>
        </w:rPr>
      </w:pPr>
      <w:hyperlink r:id="rId1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215900"/>
              <wp:effectExtent b="0" l="0" r="0" t="0"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15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значение j-го признака i-го обучающего примера;</w:t>
      </w:r>
    </w:p>
    <w:p w:rsidR="00000000" w:rsidDel="00000000" w:rsidP="00000000" w:rsidRDefault="00000000" w:rsidRPr="00000000" w14:paraId="0000002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примеров в обучающей выборке;</w:t>
      </w:r>
    </w:p>
    <w:p w:rsidR="00000000" w:rsidDel="00000000" w:rsidP="00000000" w:rsidRDefault="00000000" w:rsidRPr="00000000" w14:paraId="0000002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признаков;</w:t>
      </w:r>
    </w:p>
    <w:p w:rsidR="00000000" w:rsidDel="00000000" w:rsidP="00000000" w:rsidRDefault="00000000" w:rsidRPr="00000000" w14:paraId="0000002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- матрица признаков;</w:t>
      </w:r>
    </w:p>
    <w:p w:rsidR="00000000" w:rsidDel="00000000" w:rsidP="00000000" w:rsidRDefault="00000000" w:rsidRPr="00000000" w14:paraId="0000002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- вектор параметров регрессии.</w:t>
      </w:r>
    </w:p>
    <w:p w:rsidR="00000000" w:rsidDel="00000000" w:rsidP="00000000" w:rsidRDefault="00000000" w:rsidRPr="00000000" w14:paraId="0000003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Заметим, что в будущем для удобства примем, что </w:t>
      </w:r>
      <w:hyperlink r:id="rId1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482600" cy="190500"/>
              <wp:effectExtent b="0" l="0" r="0" t="0"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для всех i. Другими словами, мы для удобства введем некий суррогатный признак, для всех наблюдений равный единице. это сильно упростит математические выкладки, особенно в матричной форме. </w:t>
      </w:r>
    </w:p>
    <w:p w:rsidR="00000000" w:rsidDel="00000000" w:rsidP="00000000" w:rsidRDefault="00000000" w:rsidRPr="00000000" w14:paraId="0000003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определим множественную форму функции гипотезы следующим образом, используя несколько признаков:</w:t>
      </w:r>
    </w:p>
    <w:p w:rsidR="00000000" w:rsidDel="00000000" w:rsidP="00000000" w:rsidRDefault="00000000" w:rsidRPr="00000000" w14:paraId="00000032">
      <w:pPr>
        <w:spacing w:before="200" w:lineRule="auto"/>
        <w:jc w:val="center"/>
        <w:rPr>
          <w:sz w:val="28"/>
          <w:szCs w:val="28"/>
        </w:rPr>
      </w:pPr>
      <w:hyperlink r:id="rId2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009900" cy="152400"/>
              <wp:effectExtent b="0" l="0" r="0" t="0"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определение матричного умножения, наша многопараметрическая функция гипотезы может быть кратко представлена в виде: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 = B 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rPr>
          <w:sz w:val="28"/>
          <w:szCs w:val="28"/>
        </w:rPr>
      </w:pPr>
      <w:bookmarkStart w:colFirst="0" w:colLast="0" w:name="_26in1rg" w:id="7"/>
      <w:bookmarkEnd w:id="7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3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множественной регрессии функция ошибки от вектора параметров b выглядит следующим образом:</w:t>
      </w:r>
    </w:p>
    <w:p w:rsidR="00000000" w:rsidDel="00000000" w:rsidP="00000000" w:rsidRDefault="00000000" w:rsidRPr="00000000" w14:paraId="00000036">
      <w:pPr>
        <w:spacing w:before="200" w:lineRule="auto"/>
        <w:jc w:val="center"/>
        <w:rPr>
          <w:sz w:val="28"/>
          <w:szCs w:val="28"/>
        </w:rPr>
      </w:pPr>
      <w:hyperlink r:id="rId2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044700" cy="419100"/>
              <wp:effectExtent b="0" l="0" r="0" t="0"/>
              <wp:docPr id="1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38">
      <w:pPr>
        <w:spacing w:before="200" w:lineRule="auto"/>
        <w:jc w:val="center"/>
        <w:rPr>
          <w:sz w:val="28"/>
          <w:szCs w:val="28"/>
        </w:rPr>
      </w:pPr>
      <w:hyperlink r:id="rId2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43100" cy="304800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градиентного спуска для множественной регрессии определяется следующими уравнениями:</w:t>
      </w:r>
    </w:p>
    <w:p w:rsidR="00000000" w:rsidDel="00000000" w:rsidP="00000000" w:rsidRDefault="00000000" w:rsidRPr="00000000" w14:paraId="0000003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повторять до сходимости:</w:t>
      </w:r>
    </w:p>
    <w:p w:rsidR="00000000" w:rsidDel="00000000" w:rsidP="00000000" w:rsidRDefault="00000000" w:rsidRPr="00000000" w14:paraId="0000003B">
      <w:pPr>
        <w:spacing w:before="200" w:lineRule="auto"/>
        <w:jc w:val="center"/>
        <w:rPr>
          <w:sz w:val="28"/>
          <w:szCs w:val="28"/>
        </w:rPr>
      </w:pPr>
      <w:hyperlink r:id="rId2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jc w:val="center"/>
        <w:rPr>
          <w:sz w:val="28"/>
          <w:szCs w:val="28"/>
        </w:rPr>
      </w:pPr>
      <w:hyperlink r:id="rId2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jc w:val="center"/>
        <w:rPr>
          <w:sz w:val="28"/>
          <w:szCs w:val="28"/>
        </w:rPr>
      </w:pPr>
      <w:hyperlink r:id="rId3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jc w:val="center"/>
        <w:rPr>
          <w:sz w:val="28"/>
          <w:szCs w:val="28"/>
        </w:rPr>
      </w:pPr>
      <w:hyperlink r:id="rId3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7800" cy="12700"/>
              <wp:effectExtent b="0" l="0" r="0" t="0"/>
              <wp:docPr id="1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40">
      <w:pPr>
        <w:spacing w:before="200" w:lineRule="auto"/>
        <w:jc w:val="center"/>
        <w:rPr>
          <w:sz w:val="28"/>
          <w:szCs w:val="28"/>
        </w:rPr>
      </w:pPr>
      <w:hyperlink r:id="rId3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49400" cy="279400"/>
              <wp:effectExtent b="0" l="0" r="0" t="0"/>
              <wp:docPr id="2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279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28"/>
          <w:szCs w:val="28"/>
        </w:rPr>
      </w:pPr>
      <w:bookmarkStart w:colFirst="0" w:colLast="0" w:name="_lnxbz9" w:id="8"/>
      <w:bookmarkEnd w:id="8"/>
      <w:r w:rsidDel="00000000" w:rsidR="00000000" w:rsidRPr="00000000">
        <w:rPr>
          <w:sz w:val="28"/>
          <w:szCs w:val="28"/>
          <w:rtl w:val="0"/>
        </w:rPr>
        <w:t xml:space="preserve">Нормализация признаков</w:t>
      </w:r>
    </w:p>
    <w:p w:rsidR="00000000" w:rsidDel="00000000" w:rsidP="00000000" w:rsidRDefault="00000000" w:rsidRPr="00000000" w14:paraId="0000004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ускорить сходимость метода градиентного спуска, получив каждое из наших входных значений примерно в том же диапазоне. Это связано с тем, что b будет быстро сходиться на малых диапазонах и медленно на больших диапазонах, и поэтому будет колебаться неэффективно до оптимального, если переменные очень неравномерны.</w:t>
      </w:r>
    </w:p>
    <w:p w:rsidR="00000000" w:rsidDel="00000000" w:rsidP="00000000" w:rsidRDefault="00000000" w:rsidRPr="00000000" w14:paraId="0000004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 предотвратить это - изменить диапазоны наших входных переменных, чтобы они были примерно одинаковыми. В идеале </w:t>
      </w:r>
    </w:p>
    <w:p w:rsidR="00000000" w:rsidDel="00000000" w:rsidP="00000000" w:rsidRDefault="00000000" w:rsidRPr="00000000" w14:paraId="00000044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-1 ≤ x ≤ 1 или же -0,5 ≤ x ≤ 0,5.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не точные требования; мы только пытаемся ускорить процесс. Цель состоит в том, чтобы получить все входные переменные в примерно один из этих диапазонов, дать или взять несколько.</w:t>
      </w:r>
    </w:p>
    <w:p w:rsidR="00000000" w:rsidDel="00000000" w:rsidP="00000000" w:rsidRDefault="00000000" w:rsidRPr="00000000" w14:paraId="0000004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Два метода для этого - масштабирование признаков и нормализация по среднему. Масштабирование признаков заключается в делении входных значений на размах выборки (то есть максимальное значение минус минимальное значение) входной переменной, в результате чего новый диапазон составляет всего 1. Нормализация по среднему включает в себя вычитание среднего значения входной переменной из значений для этой входной переменной, в результате чего новое среднее значение для этой переменной равно нулю. Чтобы реализовать оба этих метода, отрегулируйте свои входные значения, как показано в этой формуле:</w:t>
      </w:r>
    </w:p>
    <w:p w:rsidR="00000000" w:rsidDel="00000000" w:rsidP="00000000" w:rsidRDefault="00000000" w:rsidRPr="00000000" w14:paraId="00000047">
      <w:pPr>
        <w:spacing w:before="200" w:lineRule="auto"/>
        <w:rPr>
          <w:sz w:val="28"/>
          <w:szCs w:val="28"/>
        </w:rPr>
      </w:pPr>
      <w:hyperlink r:id="rId3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838200" cy="304800"/>
              <wp:effectExtent b="0" l="0" r="0" t="0"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hyperlink r:id="rId3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4300" cy="1016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среднее значение признака i, а </w:t>
      </w:r>
      <w:hyperlink r:id="rId4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1600" cy="88900"/>
              <wp:effectExtent b="0" l="0" r="0" t="0"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стандартное отклонение этого признака.</w:t>
      </w:r>
    </w:p>
    <w:p w:rsidR="00000000" w:rsidDel="00000000" w:rsidP="00000000" w:rsidRDefault="00000000" w:rsidRPr="00000000" w14:paraId="00000049">
      <w:pPr>
        <w:pStyle w:val="Heading3"/>
        <w:rPr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sz w:val="28"/>
          <w:szCs w:val="28"/>
          <w:rtl w:val="0"/>
        </w:rPr>
        <w:t xml:space="preserve">Советы по методу градиентного спуска</w:t>
      </w:r>
    </w:p>
    <w:p w:rsidR="00000000" w:rsidDel="00000000" w:rsidP="00000000" w:rsidRDefault="00000000" w:rsidRPr="00000000" w14:paraId="0000004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Отладка градиентного спуска. </w:t>
      </w:r>
    </w:p>
    <w:p w:rsidR="00000000" w:rsidDel="00000000" w:rsidP="00000000" w:rsidRDefault="00000000" w:rsidRPr="00000000" w14:paraId="0000004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график с количеством итераций по оси x. Теперь построим функцию стоимости J(b) по числу итераций градиентного спуска. Если J(b) когда-либо возрастает, то, вероятно, вам необходимо уменьшить α.</w:t>
      </w:r>
    </w:p>
    <w:p w:rsidR="00000000" w:rsidDel="00000000" w:rsidP="00000000" w:rsidRDefault="00000000" w:rsidRPr="00000000" w14:paraId="0000004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Автоматический тест сходимости. </w:t>
      </w:r>
    </w:p>
    <w:p w:rsidR="00000000" w:rsidDel="00000000" w:rsidP="00000000" w:rsidRDefault="00000000" w:rsidRPr="00000000" w14:paraId="0000004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сходимость, если J(b) уменьшится меньше чем на E на одной итерации, где E - некоторое небольшое значение, такое как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. Однако на практике трудно выбрать это пороговое значение.</w:t>
      </w:r>
    </w:p>
    <w:p w:rsidR="00000000" w:rsidDel="00000000" w:rsidP="00000000" w:rsidRDefault="00000000" w:rsidRPr="00000000" w14:paraId="0000004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Было доказано, что если скорость обучения α достаточно мала, то J(b) будет уменьшаться на каждой итерации. </w:t>
      </w:r>
    </w:p>
    <w:p w:rsidR="00000000" w:rsidDel="00000000" w:rsidP="00000000" w:rsidRDefault="00000000" w:rsidRPr="00000000" w14:paraId="0000004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Суррогатные признаки</w:t>
      </w:r>
    </w:p>
    <w:p w:rsidR="00000000" w:rsidDel="00000000" w:rsidP="00000000" w:rsidRDefault="00000000" w:rsidRPr="00000000" w14:paraId="0000005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Мы можем улучшить наши функции и форму нашей функции гипотез несколькими способами. Мы можем объединить несколько признаков в один. Например, мы можем объединить x1 и x2 в новый признак x3, взяв x1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⋅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720" w:lineRule="auto"/>
        <w:rPr/>
      </w:pPr>
      <w:bookmarkStart w:colFirst="0" w:colLast="0" w:name="_1ksv4uv" w:id="10"/>
      <w:bookmarkEnd w:id="10"/>
      <w:r w:rsidDel="00000000" w:rsidR="00000000" w:rsidRPr="00000000">
        <w:rPr>
          <w:rtl w:val="0"/>
        </w:rPr>
        <w:t xml:space="preserve">Полиномиальная регрессия</w:t>
      </w:r>
    </w:p>
    <w:p w:rsidR="00000000" w:rsidDel="00000000" w:rsidP="00000000" w:rsidRDefault="00000000" w:rsidRPr="00000000" w14:paraId="0000005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функция гипотезы не обязательно должна быть линейной (прямой), если это не соответствует данным.</w:t>
      </w:r>
    </w:p>
    <w:p w:rsidR="00000000" w:rsidDel="00000000" w:rsidP="00000000" w:rsidRDefault="00000000" w:rsidRPr="00000000" w14:paraId="0000005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изменить поведение или кривую нашей функции гипотезы, сделав ее квадратичной, кубической или квадратной корневой функцией (или любой другой формой).</w:t>
      </w:r>
    </w:p>
    <w:p w:rsidR="00000000" w:rsidDel="00000000" w:rsidP="00000000" w:rsidRDefault="00000000" w:rsidRPr="00000000" w14:paraId="0000005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наша функция гипотезы </w:t>
      </w:r>
      <w:hyperlink r:id="rId4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, то мы можем добавить еще один признак, основанный на x1, получив квадратичную функцию </w:t>
      </w:r>
      <w:hyperlink r:id="rId4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90700" cy="1651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или кубическую функцию </w:t>
      </w:r>
      <w:hyperlink r:id="rId4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247900" cy="165100"/>
              <wp:effectExtent b="0" l="0" r="0" t="0"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В кубической функции мы по сути ввели два новых признака: </w:t>
      </w:r>
      <w:hyperlink r:id="rId4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41400" cy="165100"/>
              <wp:effectExtent b="0" l="0" r="0" t="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Точно таким же образом, мы можем создать, например, такую функцию: </w:t>
      </w:r>
      <w:hyperlink r:id="rId5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854200" cy="152400"/>
              <wp:effectExtent b="0" l="0" r="0" t="0"/>
              <wp:docPr id="18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важная вещь, о которой следует помнить, заключается в том, что если вы выбираете свои функции таким образом, масштабирование признаков становится очень важным. Например, если x имеет диапазон 1 - 1000, тогда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1 - 1000000, 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1 - 1000000000.</w:t>
      </w:r>
    </w:p>
    <w:p w:rsidR="00000000" w:rsidDel="00000000" w:rsidP="00000000" w:rsidRDefault="00000000" w:rsidRPr="00000000" w14:paraId="00000056">
      <w:pPr>
        <w:pStyle w:val="Heading3"/>
        <w:rPr>
          <w:sz w:val="28"/>
          <w:szCs w:val="28"/>
        </w:rPr>
      </w:pPr>
      <w:bookmarkStart w:colFirst="0" w:colLast="0" w:name="_44sinio" w:id="11"/>
      <w:bookmarkEnd w:id="11"/>
      <w:r w:rsidDel="00000000" w:rsidR="00000000" w:rsidRPr="00000000">
        <w:rPr>
          <w:sz w:val="28"/>
          <w:szCs w:val="28"/>
          <w:rtl w:val="0"/>
        </w:rPr>
        <w:t xml:space="preserve">Нормальное уравнение</w:t>
      </w:r>
    </w:p>
    <w:p w:rsidR="00000000" w:rsidDel="00000000" w:rsidP="00000000" w:rsidRDefault="00000000" w:rsidRPr="00000000" w14:paraId="0000005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«Нормальное уравнение» - это метод нахождения оптимальных параметров регрессии без итераций:</w:t>
      </w:r>
    </w:p>
    <w:p w:rsidR="00000000" w:rsidDel="00000000" w:rsidP="00000000" w:rsidRDefault="00000000" w:rsidRPr="00000000" w14:paraId="00000058">
      <w:pPr>
        <w:spacing w:before="200" w:lineRule="auto"/>
        <w:jc w:val="center"/>
        <w:rPr>
          <w:sz w:val="28"/>
          <w:szCs w:val="28"/>
        </w:rPr>
      </w:pPr>
      <w:hyperlink r:id="rId5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68400" cy="165100"/>
              <wp:effectExtent b="0" l="0" r="0" t="0"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выполнять масштабирование признаков, если мы решаем регрессию с помощью нормального уравнения.</w:t>
      </w:r>
    </w:p>
    <w:p w:rsidR="00000000" w:rsidDel="00000000" w:rsidP="00000000" w:rsidRDefault="00000000" w:rsidRPr="00000000" w14:paraId="0000005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решения через нормальное уравнение имеет ряд преимуществ по сравнению с методом градиентного спуска: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 нормализации признаков;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нужно выбирать скорость обучения;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требует вычисления частных производных функции ошибки;</w:t>
      </w:r>
    </w:p>
    <w:p w:rsidR="00000000" w:rsidDel="00000000" w:rsidP="00000000" w:rsidRDefault="00000000" w:rsidRPr="00000000" w14:paraId="0000005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у него есть и недостатки: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асимптотику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по сравнению с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у градиентного спуска. Поэтому довольно медленно работает при больших 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вычисления обратной матрицы. В некоторых случаях матрица </w:t>
      </w:r>
      <w:hyperlink r:id="rId5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" cy="127000"/>
              <wp:effectExtent b="0" l="0" r="0" t="0"/>
              <wp:docPr id="2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может быть вырожденной, что затруднит использование нормального уравнения.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ambr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before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7.png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48" Type="http://schemas.openxmlformats.org/officeDocument/2006/relationships/hyperlink" Target="about:blank" TargetMode="External"/><Relationship Id="rId47" Type="http://schemas.openxmlformats.org/officeDocument/2006/relationships/image" Target="media/image12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image" Target="media/image22.png"/><Relationship Id="rId33" Type="http://schemas.openxmlformats.org/officeDocument/2006/relationships/hyperlink" Target="about:blank" TargetMode="External"/><Relationship Id="rId32" Type="http://schemas.openxmlformats.org/officeDocument/2006/relationships/image" Target="media/image21.png"/><Relationship Id="rId35" Type="http://schemas.openxmlformats.org/officeDocument/2006/relationships/hyperlink" Target="about:blank" TargetMode="External"/><Relationship Id="rId34" Type="http://schemas.openxmlformats.org/officeDocument/2006/relationships/image" Target="media/image17.png"/><Relationship Id="rId37" Type="http://schemas.openxmlformats.org/officeDocument/2006/relationships/hyperlink" Target="about:blank" TargetMode="External"/><Relationship Id="rId36" Type="http://schemas.openxmlformats.org/officeDocument/2006/relationships/image" Target="media/image23.png"/><Relationship Id="rId39" Type="http://schemas.openxmlformats.org/officeDocument/2006/relationships/hyperlink" Target="about:blank" TargetMode="External"/><Relationship Id="rId38" Type="http://schemas.openxmlformats.org/officeDocument/2006/relationships/image" Target="media/image11.png"/><Relationship Id="rId20" Type="http://schemas.openxmlformats.org/officeDocument/2006/relationships/hyperlink" Target="about:blank" TargetMode="External"/><Relationship Id="rId22" Type="http://schemas.openxmlformats.org/officeDocument/2006/relationships/image" Target="media/image14.png"/><Relationship Id="rId21" Type="http://schemas.openxmlformats.org/officeDocument/2006/relationships/hyperlink" Target="about:blank" TargetMode="External"/><Relationship Id="rId24" Type="http://schemas.openxmlformats.org/officeDocument/2006/relationships/image" Target="media/image8.png"/><Relationship Id="rId23" Type="http://schemas.openxmlformats.org/officeDocument/2006/relationships/hyperlink" Target="about:blank" TargetMode="External"/><Relationship Id="rId26" Type="http://schemas.openxmlformats.org/officeDocument/2006/relationships/image" Target="media/image2.png"/><Relationship Id="rId25" Type="http://schemas.openxmlformats.org/officeDocument/2006/relationships/hyperlink" Target="about:blank" TargetMode="External"/><Relationship Id="rId28" Type="http://schemas.openxmlformats.org/officeDocument/2006/relationships/image" Target="media/image18.png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image" Target="media/image24.png"/><Relationship Id="rId50" Type="http://schemas.openxmlformats.org/officeDocument/2006/relationships/hyperlink" Target="about:blank" TargetMode="External"/><Relationship Id="rId53" Type="http://schemas.openxmlformats.org/officeDocument/2006/relationships/image" Target="media/image9.png"/><Relationship Id="rId52" Type="http://schemas.openxmlformats.org/officeDocument/2006/relationships/hyperlink" Target="about:blank" TargetMode="External"/><Relationship Id="rId11" Type="http://schemas.openxmlformats.org/officeDocument/2006/relationships/image" Target="media/image15.png"/><Relationship Id="rId55" Type="http://schemas.openxmlformats.org/officeDocument/2006/relationships/image" Target="media/image20.png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image" Target="media/image13.png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16.pn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5.png"/><Relationship Id="rId16" Type="http://schemas.openxmlformats.org/officeDocument/2006/relationships/hyperlink" Target="about:blank" TargetMode="External"/><Relationship Id="rId19" Type="http://schemas.openxmlformats.org/officeDocument/2006/relationships/image" Target="media/image10.png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