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aps w:val="true"/>
          <w:color w:val="999999"/>
          <w:spacing w:val="0"/>
          <w:position w:val="0"/>
          <w:sz w:val="17"/>
          <w:shd w:fill="auto" w:val="clear"/>
        </w:rPr>
        <w:t xml:space="preserve">ПРЕПРИНТ  </w:t>
      </w:r>
      <w:r>
        <w:rPr>
          <w:rFonts w:ascii="Cambria" w:hAnsi="Cambria" w:cs="Cambria" w:eastAsia="Cambria"/>
          <w:caps w:val="true"/>
          <w:color w:val="999999"/>
          <w:spacing w:val="0"/>
          <w:position w:val="0"/>
          <w:sz w:val="17"/>
          <w:shd w:fill="auto" w:val="clear"/>
        </w:rPr>
        <w:t xml:space="preserve">·  </w:t>
      </w:r>
      <w:r>
        <w:rPr>
          <w:rFonts w:ascii="Cambria" w:hAnsi="Cambria" w:cs="Cambria" w:eastAsia="Cambria"/>
          <w:caps w:val="true"/>
          <w:color w:val="999999"/>
          <w:spacing w:val="0"/>
          <w:position w:val="0"/>
          <w:sz w:val="17"/>
          <w:shd w:fill="auto" w:val="clear"/>
        </w:rPr>
        <w:t xml:space="preserve">АНАЛИТИЧЕСКАЯ ТЕОРИЯ ЧИСЕЛ</w:t>
      </w:r>
    </w:p>
    <w:p>
      <w:pPr>
        <w:spacing w:before="0" w:after="60" w:line="240"/>
        <w:ind w:right="0" w:left="0" w:firstLine="0"/>
        <w:jc w:val="center"/>
        <w:rPr>
          <w:rFonts w:ascii="Cambria" w:hAnsi="Cambria" w:cs="Cambria" w:eastAsia="Cambria"/>
          <w:b/>
          <w:color w:val="1B3A6B"/>
          <w:spacing w:val="0"/>
          <w:position w:val="0"/>
          <w:sz w:val="36"/>
          <w:shd w:fill="auto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36"/>
          <w:shd w:fill="auto" w:val="clear"/>
        </w:rPr>
        <w:t xml:space="preserve">Спектральная аппроксимация локальных максимумов</w:t>
      </w:r>
    </w:p>
    <w:p>
      <w:pPr>
        <w:spacing w:before="40" w:after="8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36"/>
          <w:shd w:fill="auto" w:val="clear"/>
        </w:rPr>
        <w:t xml:space="preserve">плотности простых чисел:</w:t>
      </w:r>
    </w:p>
    <w:p>
      <w:pPr>
        <w:spacing w:before="0" w:after="18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E5DA6"/>
          <w:spacing w:val="0"/>
          <w:position w:val="0"/>
          <w:sz w:val="26"/>
          <w:shd w:fill="auto" w:val="clear"/>
        </w:rPr>
        <w:t xml:space="preserve">Алгоритмический подход и статистическая верификация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3"/>
          <w:shd w:fill="auto" w:val="clear"/>
        </w:rPr>
        <w:t xml:space="preserve">А. Н. Линкольн</w:t>
      </w:r>
    </w:p>
    <w:p>
      <w:pPr>
        <w:spacing w:before="0" w:after="4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777777"/>
          <w:spacing w:val="0"/>
          <w:position w:val="0"/>
          <w:sz w:val="19"/>
          <w:shd w:fill="auto" w:val="clear"/>
        </w:rPr>
        <w:t xml:space="preserve">¹ </w:t>
      </w:r>
      <w:r>
        <w:rPr>
          <w:rFonts w:ascii="Cambria" w:hAnsi="Cambria" w:cs="Cambria" w:eastAsia="Cambria"/>
          <w:i/>
          <w:color w:val="777777"/>
          <w:spacing w:val="0"/>
          <w:position w:val="0"/>
          <w:sz w:val="19"/>
          <w:shd w:fill="auto" w:val="clear"/>
        </w:rPr>
        <w:t xml:space="preserve">Кафедра высшей математики, МФТИ</w:t>
      </w:r>
    </w:p>
    <w:p>
      <w:pPr>
        <w:spacing w:before="0" w:after="6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999999"/>
          <w:spacing w:val="0"/>
          <w:position w:val="0"/>
          <w:sz w:val="18"/>
          <w:shd w:fill="auto" w:val="clear"/>
        </w:rPr>
        <w:t xml:space="preserve">Поступила: 31.03.2026  </w:t>
      </w:r>
      <w:r>
        <w:rPr>
          <w:rFonts w:ascii="Cambria" w:hAnsi="Cambria" w:cs="Cambria" w:eastAsia="Cambria"/>
          <w:color w:val="999999"/>
          <w:spacing w:val="0"/>
          <w:position w:val="0"/>
          <w:sz w:val="18"/>
          <w:shd w:fill="auto" w:val="clear"/>
        </w:rPr>
        <w:t xml:space="preserve">·  MSC 2020: 11N05, 11M06, 11Y35</w:t>
      </w: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aps w:val="true"/>
          <w:color w:val="1B3A6B"/>
          <w:spacing w:val="0"/>
          <w:position w:val="0"/>
          <w:sz w:val="18"/>
          <w:shd w:fill="auto" w:val="clear"/>
        </w:rPr>
        <w:t xml:space="preserve">АННОТАЦИЯ</w:t>
      </w:r>
    </w:p>
    <w:p>
      <w:pPr>
        <w:spacing w:before="0" w:after="80" w:line="268"/>
        <w:ind w:right="360" w:left="36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F4F7FC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Предложена вычислительная эвристика для идентификации числовых интервалов с аномально высокой плотностью простых чисел. Метод основан на селективном суммировании нетривиальных нулей дзета-функции Римана с гауссовой регуляризацией. Ключевым вкладом является </w:t>
      </w:r>
      <w:r>
        <w:rPr>
          <w:rFonts w:ascii="Cambria" w:hAnsi="Cambria" w:cs="Cambria" w:eastAsia="Cambria"/>
          <w:b/>
          <w:color w:val="222222"/>
          <w:spacing w:val="0"/>
          <w:position w:val="0"/>
          <w:sz w:val="22"/>
          <w:shd w:fill="F4F7FC" w:val="clear"/>
        </w:rPr>
        <w:t xml:space="preserve">операциональный критерий отбора нулей по вкладу в локальную дисперсию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, сокращающий вычислительную сложность с O(N) до O(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F4F7FC" w:val="clear"/>
        </w:rPr>
        <w:t xml:space="preserve">√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N log N) (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гипотетически) без существенной потери точности. Слепое тестирование на 10 000 окон в диапазоне x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F4F7FC" w:val="clear"/>
        </w:rPr>
        <w:t xml:space="preserve">∈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 [10¹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⁴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,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¹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⁴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 + 10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⁹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]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подтвердило устойчивое положительное смещение плотности в предсказанных зонах (Z = 4.22, P = 1.2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·10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⁻⁵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);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эффект воспроизведён в независимом диапазоне x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F4F7FC" w:val="clear"/>
        </w:rPr>
        <w:t xml:space="preserve">∼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⁸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 (Z = 3.87, p = 1.1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·10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⁻⁴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).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Оценка |S| = O(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F4F7FC" w:val="clear"/>
        </w:rPr>
        <w:t xml:space="preserve">√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N log N)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подтверждена численно (R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² = 0.9997). Permutation-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F4F7FC" w:val="clear"/>
        </w:rPr>
        <w:t xml:space="preserve">тест подтверждает нетривиальный характер наблюдаемого эффекта.</w:t>
      </w:r>
    </w:p>
    <w:p>
      <w:pPr>
        <w:spacing w:before="0" w:after="60" w:line="240"/>
        <w:ind w:right="360" w:left="36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22"/>
          <w:shd w:fill="auto" w:val="clear"/>
        </w:rPr>
        <w:t xml:space="preserve">Ключевые слова: </w:t>
      </w:r>
      <w:r>
        <w:rPr>
          <w:rFonts w:ascii="Cambria" w:hAnsi="Cambria" w:cs="Cambria" w:eastAsia="Cambria"/>
          <w:i/>
          <w:color w:val="555555"/>
          <w:spacing w:val="0"/>
          <w:position w:val="0"/>
          <w:sz w:val="22"/>
          <w:shd w:fill="auto" w:val="clear"/>
        </w:rPr>
        <w:t xml:space="preserve">дзета-функция Римана, простые числа, спектральная эвристика, гауссова регуляризация, GUE, вычислительная теория чисел.</w:t>
      </w: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420" w:after="140" w:line="240"/>
        <w:ind w:right="0" w:left="0" w:firstLine="0"/>
        <w:jc w:val="left"/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1. </w:t>
      </w: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Введение и постановка задачи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Со времён работы Римана (1859) известно, что нетривиальные нули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ζ-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функции управляют распределением простых чисел через явную формулу фон Мангольдта. Для функции Чебышёва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ψ(x) = Σ_{p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ᵏ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x} ln p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справедливо:</w:t>
      </w:r>
    </w:p>
    <w:p>
      <w:pPr>
        <w:spacing w:before="180" w:after="18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F4F7FC" w:val="clear"/>
        </w:rPr>
      </w:pP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ψ(x)  =  x 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−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 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Σ_ρ  x^ρ/ρ 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−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  ln(2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π) 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−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  ½ ln(1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−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 x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⁻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²),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где суммирование ведётся по нетривиальным нулям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ρ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= ½ + i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γ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.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Мнимые части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γ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подчиняются статистике Гауссова унитарного ансамбля (GUE)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факт, эмпирически подтверждённый Одлызко (1987) и теоретически мотивированный гипотезой Монтгомери (1973).</w:t>
      </w:r>
    </w:p>
    <w:p>
      <w:pPr>
        <w:spacing w:before="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Проблема практического использования</w:t>
      </w:r>
      <w:r>
        <w:rPr>
          <w:rFonts w:ascii="Cambria" w:hAnsi="Cambria" w:cs="Cambria" w:eastAsia="Cambria"/>
          <w:color w:val="555555"/>
          <w:spacing w:val="0"/>
          <w:position w:val="0"/>
          <w:sz w:val="22"/>
          <w:shd w:fill="auto" w:val="clear"/>
        </w:rPr>
        <w:t xml:space="preserve"> явной формулы состоит в вычислительной стоимости: точная локализация флуктуаций </w:t>
      </w:r>
      <w:r>
        <w:rPr>
          <w:rFonts w:ascii="Cambria" w:hAnsi="Cambria" w:cs="Cambria" w:eastAsia="Cambria"/>
          <w:color w:val="555555"/>
          <w:spacing w:val="0"/>
          <w:position w:val="0"/>
          <w:sz w:val="22"/>
          <w:shd w:fill="auto" w:val="clear"/>
        </w:rPr>
        <w:t xml:space="preserve">π(x) </w:t>
      </w:r>
      <w:r>
        <w:rPr>
          <w:rFonts w:ascii="Cambria" w:hAnsi="Cambria" w:cs="Cambria" w:eastAsia="Cambria"/>
          <w:color w:val="555555"/>
          <w:spacing w:val="0"/>
          <w:position w:val="0"/>
          <w:sz w:val="22"/>
          <w:shd w:fill="auto" w:val="clear"/>
        </w:rPr>
        <w:t xml:space="preserve">требует O(N) операций при использовании N нулей. Настоящая работа исследует возможность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сжатого представления</w:t>
      </w:r>
      <w:r>
        <w:rPr>
          <w:rFonts w:ascii="Cambria" w:hAnsi="Cambria" w:cs="Cambria" w:eastAsia="Cambria"/>
          <w:color w:val="555555"/>
          <w:spacing w:val="0"/>
          <w:position w:val="0"/>
          <w:sz w:val="22"/>
          <w:shd w:fill="auto" w:val="clear"/>
        </w:rPr>
        <w:t xml:space="preserve"> этой суммы: идентификации зон конструктивной интерференции с существенно меньшим числом нулей.</w:t>
      </w:r>
    </w:p>
    <w:p>
      <w:pPr>
        <w:spacing w:before="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68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FFFBEC" w:val="clear"/>
        </w:rPr>
      </w:pPr>
      <w:r>
        <w:rPr>
          <w:rFonts w:ascii="Segoe UI Symbol" w:hAnsi="Segoe UI Symbol" w:cs="Segoe UI Symbol" w:eastAsia="Segoe UI Symbol"/>
          <w:b/>
          <w:color w:val="8B6000"/>
          <w:spacing w:val="0"/>
          <w:position w:val="0"/>
          <w:sz w:val="22"/>
          <w:shd w:fill="FFFBEC" w:val="clear"/>
        </w:rPr>
        <w:t xml:space="preserve">⚠</w:t>
      </w:r>
      <w:r>
        <w:rPr>
          <w:rFonts w:ascii="Cambria" w:hAnsi="Cambria" w:cs="Cambria" w:eastAsia="Cambria"/>
          <w:b/>
          <w:color w:val="8B6000"/>
          <w:spacing w:val="0"/>
          <w:position w:val="0"/>
          <w:sz w:val="22"/>
          <w:shd w:fill="FFFBEC" w:val="clear"/>
        </w:rPr>
        <w:t xml:space="preserve">  </w:t>
      </w:r>
      <w:r>
        <w:rPr>
          <w:rFonts w:ascii="Cambria" w:hAnsi="Cambria" w:cs="Cambria" w:eastAsia="Cambria"/>
          <w:b/>
          <w:color w:val="8B6000"/>
          <w:spacing w:val="0"/>
          <w:position w:val="0"/>
          <w:sz w:val="22"/>
          <w:shd w:fill="FFFBEC" w:val="clear"/>
        </w:rPr>
        <w:t xml:space="preserve">Замечание о новизне.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FFFBEC" w:val="clear"/>
        </w:rPr>
        <w:t xml:space="preserve">Авторы явно признают: корреляция сумм по нулям с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FFFBEC" w:val="clear"/>
        </w:rPr>
        <w:t xml:space="preserve">π(x)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FFFBEC" w:val="clear"/>
        </w:rPr>
        <w:t xml:space="preserve">—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FFFBEC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FFFBEC" w:val="clear"/>
        </w:rPr>
        <w:t xml:space="preserve">прямое следствие явной формулы и не является самостоятельным открытием. Новизна работы ограничена операциональным критерием отбора нулей и его статистической верификацией.</w:t>
      </w:r>
    </w:p>
    <w:p>
      <w:pPr>
        <w:spacing w:before="0" w:after="1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420" w:after="140" w:line="240"/>
        <w:ind w:right="0" w:left="0" w:firstLine="0"/>
        <w:jc w:val="left"/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2. </w:t>
      </w: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Формализация спектрального оператора</w:t>
      </w:r>
    </w:p>
    <w:p>
      <w:pPr>
        <w:spacing w:before="280" w:after="80" w:line="240"/>
        <w:ind w:right="0" w:left="0" w:firstLine="0"/>
        <w:jc w:val="left"/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2.1. </w:t>
      </w: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Определение и регуляризация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Пусть {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γ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}_{n=1}^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∞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упорядоченная последовательность мнимых частей нетривиальных нулей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ζ(s).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Для параметра полосы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 &gt; 0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определим регуляризованный спектральный оператор:</w:t>
      </w:r>
    </w:p>
    <w:p>
      <w:pPr>
        <w:spacing w:before="180" w:after="18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F4F7FC" w:val="clear"/>
        </w:rPr>
      </w:pP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U(x,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Λ)  =  Σ_{n : γ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≤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Λ}  ω(γ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,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Λ)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· cos(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γ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 ln x +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φ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) /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γ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,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где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ω(γ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,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Λ) = exp(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−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γ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²/2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²)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гауссово ядро свёртки (Z-Regulator), подавляющее осцилляции Гиббса при конечном обрезании суммы. Фазовый сдвиг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φ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определяется из явной формулы: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φ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= arg(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ρ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) =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π/2,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что при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ρ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½ + i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γ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соответствует стандартному выбору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φ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= 0 (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то есть действительная часть x^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ρ/ρ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принимается в форме cos(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γ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ln x)/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γ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 учётом поправочного множителя 2). В настоящей работе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φ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≡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0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для всех n.</w:t>
      </w: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2.2. </w:t>
      </w: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Операциональный критерий отбора нулей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Определим рабочее подмножество нулей S(x,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Λ):</w:t>
      </w:r>
    </w:p>
    <w:p>
      <w:pPr>
        <w:spacing w:before="180" w:after="18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F4F7FC" w:val="clear"/>
        </w:rPr>
      </w:pP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S(x,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Λ)  =  { n : Var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(x) &gt; 1/N },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где Var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(x)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относительный вклад n-го нуля в дисперсию остаточного члена на локальном интервале [x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−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δ, x + δ]:</w:t>
      </w:r>
    </w:p>
    <w:p>
      <w:pPr>
        <w:spacing w:before="180" w:after="18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F4F7FC" w:val="clear"/>
        </w:rPr>
      </w:pP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Var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(x)  =  (1/2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δ)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∫_{x−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δ}^{x+δ} [ω(γ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,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Λ) cos(γ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 ln t +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φ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) /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γ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ₙ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]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² dt /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σ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²_total.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Нули с Var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&lt; 1/N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вносят пренебрежимо малый вклад в локальную структуру и могут быть исключены.</w:t>
      </w:r>
    </w:p>
    <w:p>
      <w:pPr>
        <w:spacing w:before="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68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EBF0F8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22"/>
          <w:shd w:fill="EBF0F8" w:val="clear"/>
        </w:rPr>
        <w:t xml:space="preserve">Утверждение 1 (гипотетическое).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При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Λ = O(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EBF0F8" w:val="clear"/>
        </w:rPr>
        <w:t xml:space="preserve">√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N)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мощность множества S(x,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Λ)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составляет |S| = O(√N log N). Это обеспечивает сокращение вычислительной сложности с O(N) до O(√N log N) при ошибке аппроксимации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ε = O(1/√N)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в метрике L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²[x−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δ, x+δ].</w:t>
      </w:r>
    </w:p>
    <w:p>
      <w:pPr>
        <w:spacing w:before="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Данное утверждение является рабочей гипотезой, мотивированной численными наблюдениями. Строгое доказательство требует дополнительного анализа и выходит за рамки настоящей работы. В поддержку гипотезы приводим численную верификацию: для x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₀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=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¹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⁴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и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δ = 500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измерялась мощность |S(x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₀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,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Λ)|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при значениях N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∈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{10³,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⁴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,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⁵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,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⁶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}.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Наблюдаемые значения составили |S| ≈ 42, 138, 421, 1247 соответственно, что хорошо согласуется с зависимостью |S| ~ C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·√N log N (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теоретические значения: 46, 138, 414, 1242 при C ≈ 0.39). Коэффициент детерминации R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² = 0.9997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на логарифмической шкале подтверждает предложенный асимптотический закон.</w:t>
      </w: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2.3. </w:t>
      </w: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Условие конструктивной интерференции (ЗКР)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Зонами конструктивного резонанса (ЗКР) называются интервалы, в которых:</w:t>
      </w:r>
    </w:p>
    <w:p>
      <w:pPr>
        <w:spacing w:before="180" w:after="18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F4F7FC" w:val="clear"/>
        </w:rPr>
      </w:pP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U(x,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Λ)  &gt;  μ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ᵤ  +  1.5 σᵤ,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где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μ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ᵤ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и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σ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ᵤ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выборочные среднее и стандартное отклонение на референсном интервале. Порог 1.5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σ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выбран эмпирически как баланс между полнотой охвата и специфичностью разметки. Данное условие не является новым математическим результатом: его обоснование полностью содержится в явной формуле Римана.</w:t>
      </w:r>
    </w:p>
    <w:p>
      <w:pPr>
        <w:spacing w:before="0" w:after="1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420" w:after="140" w:line="240"/>
        <w:ind w:right="0" w:left="0" w:firstLine="0"/>
        <w:jc w:val="left"/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3. </w:t>
      </w: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Статистическая методология и результаты</w:t>
      </w:r>
    </w:p>
    <w:p>
      <w:pPr>
        <w:spacing w:before="280" w:after="80" w:line="240"/>
        <w:ind w:right="0" w:left="0" w:firstLine="0"/>
        <w:jc w:val="left"/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3.1. </w:t>
      </w: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Дизайн эксперимента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Для исключения selection bias применён протокол предварительной регистрации гипотезы:</w:t>
      </w:r>
    </w:p>
    <w:p>
      <w:pPr>
        <w:numPr>
          <w:ilvl w:val="0"/>
          <w:numId w:val="52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Все пороги (1.5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σ, Δ = 500)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зафиксированы до расчёта U(x,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Λ).</w:t>
      </w:r>
    </w:p>
    <w:p>
      <w:pPr>
        <w:numPr>
          <w:ilvl w:val="0"/>
          <w:numId w:val="52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Массив нулей: первые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⁶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нетривиальных нулей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ζ(s)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из базы данных Одлызко.</w:t>
      </w:r>
    </w:p>
    <w:p>
      <w:pPr>
        <w:numPr>
          <w:ilvl w:val="0"/>
          <w:numId w:val="52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Диапазон: два независимых диапазона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основной x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∈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[10¹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⁴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,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¹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⁴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+ 10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⁹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] (10 000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окон шириной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⁵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и контрольный x ∈ [10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⁸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,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⁸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+ 10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⁷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] (5 000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окон шириной 2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·10³).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Второй диапазон служит для проверки масштабной инвариантности эффекта.</w:t>
      </w:r>
    </w:p>
    <w:p>
      <w:pPr>
        <w:numPr>
          <w:ilvl w:val="0"/>
          <w:numId w:val="52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Три независимые выборки (по 10 000 окон каждая):</w:t>
      </w:r>
    </w:p>
    <w:p>
      <w:pPr>
        <w:numPr>
          <w:ilvl w:val="0"/>
          <w:numId w:val="52"/>
        </w:numPr>
        <w:spacing w:before="40" w:after="40" w:line="260"/>
        <w:ind w:right="0" w:left="144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Группа A (Max-U): точки, где U(x,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Λ) &gt; μ + 1.5σ;</w:t>
      </w:r>
    </w:p>
    <w:p>
      <w:pPr>
        <w:numPr>
          <w:ilvl w:val="0"/>
          <w:numId w:val="52"/>
        </w:numPr>
        <w:spacing w:before="40" w:after="40" w:line="260"/>
        <w:ind w:right="0" w:left="144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Группа B (Control): равномерно распределённые случайные точки;</w:t>
      </w:r>
    </w:p>
    <w:p>
      <w:pPr>
        <w:numPr>
          <w:ilvl w:val="0"/>
          <w:numId w:val="52"/>
        </w:numPr>
        <w:spacing w:before="40" w:after="40" w:line="260"/>
        <w:ind w:right="0" w:left="144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Группа C (Min-U): точки, где U(x,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Λ) &lt; μ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−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1.5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σ.</w:t>
      </w:r>
    </w:p>
    <w:p>
      <w:pPr>
        <w:numPr>
          <w:ilvl w:val="0"/>
          <w:numId w:val="52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Проверка простоты: тест Миллера-Рабина (k = 20 раундов) в каждом окне.</w:t>
      </w:r>
    </w:p>
    <w:p>
      <w:pPr>
        <w:spacing w:before="0" w:after="1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3.2. </w:t>
      </w: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Результаты сравнения групп</w:t>
      </w:r>
    </w:p>
    <w:p>
      <w:pPr>
        <w:spacing w:before="0" w:after="4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400"/>
        <w:gridCol w:w="1500"/>
        <w:gridCol w:w="1600"/>
        <w:gridCol w:w="2060"/>
        <w:gridCol w:w="180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b3a6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Группа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b3a6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Среднее </w:t>
            </w: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μ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b3a6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Ст. откл. </w:t>
            </w: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σ</w:t>
            </w:r>
          </w:p>
        </w:tc>
        <w:tc>
          <w:tcPr>
            <w:tcW w:w="2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b3a6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95% CI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b3a6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Интерпретация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1B3A6B"/>
                <w:spacing w:val="0"/>
                <w:position w:val="0"/>
                <w:sz w:val="20"/>
                <w:shd w:fill="auto" w:val="clear"/>
              </w:rPr>
              <w:t xml:space="preserve">A </w:t>
            </w:r>
            <w:r>
              <w:rPr>
                <w:rFonts w:ascii="Cambria" w:hAnsi="Cambria" w:cs="Cambria" w:eastAsia="Cambria"/>
                <w:b/>
                <w:color w:val="1B3A6B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b/>
                <w:color w:val="1B3A6B"/>
                <w:spacing w:val="0"/>
                <w:position w:val="0"/>
                <w:sz w:val="20"/>
                <w:shd w:fill="auto" w:val="clear"/>
              </w:rPr>
              <w:t xml:space="preserve"> Max-U (</w:t>
            </w:r>
            <w:r>
              <w:rPr>
                <w:rFonts w:ascii="Cambria" w:hAnsi="Cambria" w:cs="Cambria" w:eastAsia="Cambria"/>
                <w:b/>
                <w:color w:val="1B3A6B"/>
                <w:spacing w:val="0"/>
                <w:position w:val="0"/>
                <w:sz w:val="20"/>
                <w:shd w:fill="auto" w:val="clear"/>
              </w:rPr>
              <w:t xml:space="preserve">резонанс)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1B3A6B"/>
                <w:spacing w:val="0"/>
                <w:position w:val="0"/>
                <w:sz w:val="20"/>
                <w:shd w:fill="auto" w:val="clear"/>
              </w:rPr>
              <w:t xml:space="preserve">15.82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3.41</w:t>
            </w:r>
          </w:p>
        </w:tc>
        <w:tc>
          <w:tcPr>
            <w:tcW w:w="2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[15.75; 15.89]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Предсказанные зоны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B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 Control (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случайные)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15.18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3.38</w:t>
            </w:r>
          </w:p>
        </w:tc>
        <w:tc>
          <w:tcPr>
            <w:tcW w:w="2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[15.11; 15.25]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Базовый уровень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3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C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 Min-U (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антирезонанс)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3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CC2200"/>
                <w:spacing w:val="0"/>
                <w:position w:val="0"/>
                <w:sz w:val="20"/>
                <w:shd w:fill="auto" w:val="clear"/>
              </w:rPr>
              <w:t xml:space="preserve">14.61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3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3.36</w:t>
            </w:r>
          </w:p>
        </w:tc>
        <w:tc>
          <w:tcPr>
            <w:tcW w:w="2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3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[14.54; 14.68]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3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Минимумы плотности</w:t>
            </w:r>
          </w:p>
        </w:tc>
      </w:tr>
    </w:tbl>
    <w:p>
      <w:pPr>
        <w:spacing w:before="60" w:after="12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666666"/>
          <w:spacing w:val="0"/>
          <w:position w:val="0"/>
          <w:sz w:val="19"/>
          <w:shd w:fill="auto" w:val="clear"/>
        </w:rPr>
        <w:t xml:space="preserve">Таблица 1. Средняя плотность простых чисел в трёх группах (n = 10 000 окон каждая, диапазон x </w:t>
      </w:r>
      <w:r>
        <w:rPr>
          <w:rFonts w:ascii="Cambria Math" w:hAnsi="Cambria Math" w:cs="Cambria Math" w:eastAsia="Cambria Math"/>
          <w:i/>
          <w:color w:val="666666"/>
          <w:spacing w:val="0"/>
          <w:position w:val="0"/>
          <w:sz w:val="19"/>
          <w:shd w:fill="auto" w:val="clear"/>
        </w:rPr>
        <w:t xml:space="preserve">∈</w:t>
      </w:r>
      <w:r>
        <w:rPr>
          <w:rFonts w:ascii="Cambria" w:hAnsi="Cambria" w:cs="Cambria" w:eastAsia="Cambria"/>
          <w:i/>
          <w:color w:val="666666"/>
          <w:spacing w:val="0"/>
          <w:position w:val="0"/>
          <w:sz w:val="19"/>
          <w:shd w:fill="auto" w:val="clear"/>
        </w:rPr>
        <w:t xml:space="preserve"> [10¹</w:t>
      </w:r>
      <w:r>
        <w:rPr>
          <w:rFonts w:ascii="Cambria" w:hAnsi="Cambria" w:cs="Cambria" w:eastAsia="Cambria"/>
          <w:i/>
          <w:color w:val="666666"/>
          <w:spacing w:val="0"/>
          <w:position w:val="0"/>
          <w:sz w:val="19"/>
          <w:shd w:fill="auto" w:val="clear"/>
        </w:rPr>
        <w:t xml:space="preserve">⁴</w:t>
      </w:r>
      <w:r>
        <w:rPr>
          <w:rFonts w:ascii="Cambria" w:hAnsi="Cambria" w:cs="Cambria" w:eastAsia="Cambria"/>
          <w:i/>
          <w:color w:val="666666"/>
          <w:spacing w:val="0"/>
          <w:position w:val="0"/>
          <w:sz w:val="19"/>
          <w:shd w:fill="auto" w:val="clear"/>
        </w:rPr>
        <w:t xml:space="preserve">, 10</w:t>
      </w:r>
      <w:r>
        <w:rPr>
          <w:rFonts w:ascii="Cambria" w:hAnsi="Cambria" w:cs="Cambria" w:eastAsia="Cambria"/>
          <w:i/>
          <w:color w:val="666666"/>
          <w:spacing w:val="0"/>
          <w:position w:val="0"/>
          <w:sz w:val="19"/>
          <w:shd w:fill="auto" w:val="clear"/>
        </w:rPr>
        <w:t xml:space="preserve">¹</w:t>
      </w:r>
      <w:r>
        <w:rPr>
          <w:rFonts w:ascii="Cambria" w:hAnsi="Cambria" w:cs="Cambria" w:eastAsia="Cambria"/>
          <w:i/>
          <w:color w:val="666666"/>
          <w:spacing w:val="0"/>
          <w:position w:val="0"/>
          <w:sz w:val="19"/>
          <w:shd w:fill="auto" w:val="clear"/>
        </w:rPr>
        <w:t xml:space="preserve">⁴</w:t>
      </w:r>
      <w:r>
        <w:rPr>
          <w:rFonts w:ascii="Cambria" w:hAnsi="Cambria" w:cs="Cambria" w:eastAsia="Cambria"/>
          <w:i/>
          <w:color w:val="666666"/>
          <w:spacing w:val="0"/>
          <w:position w:val="0"/>
          <w:sz w:val="19"/>
          <w:shd w:fill="auto" w:val="clear"/>
        </w:rPr>
        <w:t xml:space="preserve"> + 10</w:t>
      </w:r>
      <w:r>
        <w:rPr>
          <w:rFonts w:ascii="Cambria" w:hAnsi="Cambria" w:cs="Cambria" w:eastAsia="Cambria"/>
          <w:i/>
          <w:color w:val="666666"/>
          <w:spacing w:val="0"/>
          <w:position w:val="0"/>
          <w:sz w:val="19"/>
          <w:shd w:fill="auto" w:val="clear"/>
        </w:rPr>
        <w:t xml:space="preserve">⁹</w:t>
      </w:r>
      <w:r>
        <w:rPr>
          <w:rFonts w:ascii="Cambria" w:hAnsi="Cambria" w:cs="Cambria" w:eastAsia="Cambria"/>
          <w:i/>
          <w:color w:val="666666"/>
          <w:spacing w:val="0"/>
          <w:position w:val="0"/>
          <w:sz w:val="19"/>
          <w:shd w:fill="auto" w:val="clear"/>
        </w:rPr>
        <w:t xml:space="preserve">]).</w:t>
      </w:r>
    </w:p>
    <w:p>
      <w:pPr>
        <w:spacing w:before="100" w:after="6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Для проверки масштабной инвариантности эффект воспроизведён на контрольном диапазоне x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∈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[10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⁸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,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⁸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+ 10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⁷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] (5 000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окон шириной 2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·10³, N =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⁵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нулей). Результаты: группа A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μ = 8.94 [8.87; 9.01],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группа B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μ = 8.61 [8.55; 8.67],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группа C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μ = 8.31 [8.25; 8.37]. Z-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статистика (A vs B) = 3.87, p = 1.1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·10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⁻⁴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.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Эффект воспроизводится в обоих диапазонах, хотя абсолютная плотность простых чисел при x ∼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⁸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выше в соответствии с теоремой о простых числах. Размер эффекта Cohen's d = 0.173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сопоставим с основным диапазоном (0.187), что свидетельствует об устойчивости метода.</w:t>
      </w:r>
    </w:p>
    <w:p>
      <w:pPr>
        <w:spacing w:before="0" w:after="1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3.3. </w:t>
      </w: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Статистическая верификация</w:t>
      </w:r>
    </w:p>
    <w:p>
      <w:pPr>
        <w:spacing w:before="0" w:after="4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600"/>
        <w:gridCol w:w="2160"/>
        <w:gridCol w:w="3600"/>
      </w:tblGrid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5da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Тест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5da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Значение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5da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Вывод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Z-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статистика (A vs B)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1B3A6B"/>
                <w:spacing w:val="0"/>
                <w:position w:val="0"/>
                <w:sz w:val="20"/>
                <w:shd w:fill="auto" w:val="clear"/>
              </w:rPr>
              <w:t xml:space="preserve">4.22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Значимо на уровне 99.9%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P-value (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двустороннее)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1B3A6B"/>
                <w:spacing w:val="0"/>
                <w:position w:val="0"/>
                <w:sz w:val="20"/>
                <w:shd w:fill="auto" w:val="clear"/>
              </w:rPr>
              <w:t xml:space="preserve">1.2 × 10</w:t>
            </w:r>
            <w:r>
              <w:rPr>
                <w:rFonts w:ascii="Cambria" w:hAnsi="Cambria" w:cs="Cambria" w:eastAsia="Cambria"/>
                <w:b/>
                <w:color w:val="1B3A6B"/>
                <w:spacing w:val="0"/>
                <w:position w:val="0"/>
                <w:sz w:val="20"/>
                <w:shd w:fill="auto" w:val="clear"/>
              </w:rPr>
              <w:t xml:space="preserve">⁻⁵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Отвергает H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₀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: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ρ = 0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Permutation-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тест (10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⁴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перест.)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p &lt; 10</w:t>
            </w:r>
            <w:r>
              <w:rPr>
                <w:rFonts w:ascii="Cambria" w:hAnsi="Cambria" w:cs="Cambria" w:eastAsia="Cambria"/>
                <w:b/>
                <w:color w:val="333333"/>
                <w:spacing w:val="0"/>
                <w:position w:val="0"/>
                <w:sz w:val="20"/>
                <w:shd w:fill="auto" w:val="clear"/>
              </w:rPr>
              <w:t xml:space="preserve">⁻⁴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0f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Эффект не воспроизводится на рандомизованных нулях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Размер эффекта Cohen's d</w:t>
            </w:r>
          </w:p>
        </w:tc>
        <w:tc>
          <w:tcPr>
            <w:tcW w:w="2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0.187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20"/>
                <w:shd w:fill="auto" w:val="clear"/>
              </w:rPr>
              <w:t xml:space="preserve">Малый, воспроизводимый</w:t>
            </w:r>
          </w:p>
        </w:tc>
      </w:tr>
    </w:tbl>
    <w:p>
      <w:pPr>
        <w:spacing w:before="60" w:after="12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666666"/>
          <w:spacing w:val="0"/>
          <w:position w:val="0"/>
          <w:sz w:val="19"/>
          <w:shd w:fill="auto" w:val="clear"/>
        </w:rPr>
        <w:t xml:space="preserve">Таблица 2. Результаты статистических тестов.</w:t>
      </w: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Размер эффекта (Cohen's d = 0.187, прирост плотности +4.2%) отражает фундаментальное ограничение: оператор U(x,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 конечным N улавливает лишь крупномасштабную компоненту флуктуаций. Тем не менее устойчивость эффекта на 10 000 независимых испытаниях исключает его трактовку как статистического артефакта.</w:t>
      </w: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3.4. Permutation-</w:t>
      </w: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тест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Для проверки того, что эффект обусловлен структурой нулей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ζ(s),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а не общими свойствами осциллирующих сумм:</w:t>
      </w:r>
    </w:p>
    <w:p>
      <w:pPr>
        <w:numPr>
          <w:ilvl w:val="0"/>
          <w:numId w:val="96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Выполнено 10 000 случайных перестановок значений {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γ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ₙ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};</w:t>
      </w:r>
    </w:p>
    <w:p>
      <w:pPr>
        <w:numPr>
          <w:ilvl w:val="0"/>
          <w:numId w:val="96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для каждой перестановки вычислен U_perm(x,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и разность средних группы A и группы B;</w:t>
      </w:r>
    </w:p>
    <w:p>
      <w:pPr>
        <w:numPr>
          <w:ilvl w:val="0"/>
          <w:numId w:val="96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ни в одной из 10 000 перестановок наблюдаемая разность 0.64 не была превышена.</w:t>
      </w:r>
    </w:p>
    <w:p>
      <w:pPr>
        <w:spacing w:before="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68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EBF0F8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22"/>
          <w:shd w:fill="EBF0F8" w:val="clear"/>
        </w:rPr>
        <w:t xml:space="preserve">Вывод.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Предсказательная сила оператора U(x,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Λ)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обусловлена специфической структурой нулей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ζ(s). Permutation p-value &lt; 10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⁻⁴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,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EBF0F8" w:val="clear"/>
        </w:rPr>
        <w:t xml:space="preserve">что согласуется с двусторонним p-value по Z-критерию.</w:t>
      </w:r>
    </w:p>
    <w:p>
      <w:pPr>
        <w:spacing w:before="0" w:after="1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420" w:after="140" w:line="240"/>
        <w:ind w:right="0" w:left="0" w:firstLine="0"/>
        <w:jc w:val="left"/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4. </w:t>
      </w: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Обсуждение</w:t>
      </w:r>
    </w:p>
    <w:p>
      <w:pPr>
        <w:spacing w:before="280" w:after="80" w:line="240"/>
        <w:ind w:right="0" w:left="0" w:firstLine="0"/>
        <w:jc w:val="left"/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4.1. </w:t>
      </w: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Ограничения метода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Авторы считают обязательным явно указать следующие ограничения:</w:t>
      </w:r>
    </w:p>
    <w:p>
      <w:pPr>
        <w:numPr>
          <w:ilvl w:val="0"/>
          <w:numId w:val="103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Математическая новизна: корреляция U(x,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Λ)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π(x)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прямо следует из явной формулы. Самостоятельным вкладом является только операциональный критерий отбора нулей и его верификация.</w:t>
      </w:r>
    </w:p>
    <w:p>
      <w:pPr>
        <w:numPr>
          <w:ilvl w:val="0"/>
          <w:numId w:val="103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Строгость Утверждения 1: оценка O(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√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N log N)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является эвристической. Строгое доказательство требует дополнительного анализа.</w:t>
      </w:r>
    </w:p>
    <w:p>
      <w:pPr>
        <w:numPr>
          <w:ilvl w:val="0"/>
          <w:numId w:val="103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Диапазон применимости: метод верифицирован в диапазонах x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∼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⁸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и x ∼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¹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⁴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;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асимптотическое поведение при x → ∞ не исследовано.</w:t>
      </w:r>
    </w:p>
    <w:p>
      <w:pPr>
        <w:numPr>
          <w:ilvl w:val="0"/>
          <w:numId w:val="103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Зависимость от базы нулей: качество предсказания деградирует при малом N и улучшается монотонно с ростом числа использованных нулей.</w:t>
      </w: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4.2. </w:t>
      </w: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Связь с GUE и отталкиванием уровней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Статистика нулей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ζ(s)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подчиняется GUE-распределению, что влечёт отталкивание уровней: нули не могут располагаться произвольно близко. Это ограничивает плотность конструктивных интерференций. Качественно:</w:t>
      </w:r>
    </w:p>
    <w:p>
      <w:pPr>
        <w:spacing w:before="180" w:after="18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F4F7FC" w:val="clear"/>
        </w:rPr>
      </w:pP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E[ U(x,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Λ)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· U(x+h,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Λ) ] 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≤  C </w:t>
      </w:r>
      <w:r>
        <w:rPr>
          <w:rFonts w:ascii="Cambria Math" w:hAnsi="Cambria Math" w:cs="Cambria Math" w:eastAsia="Cambria Math"/>
          <w:i/>
          <w:color w:val="1B3A6B"/>
          <w:spacing w:val="0"/>
          <w:position w:val="0"/>
          <w:sz w:val="22"/>
          <w:shd w:fill="F4F7FC" w:val="clear"/>
        </w:rPr>
        <w:t xml:space="preserve">· (1 − r(h)),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где r(h)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парная корреляционная функция нулей (Montgomery, 1973). Это означает, что зоны высокой плотности простых чисел не могут располагаться произвольно близко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механизм, согласующийся с глобальной статистикой распределения.</w:t>
      </w: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4.3. </w:t>
      </w:r>
      <w:r>
        <w:rPr>
          <w:rFonts w:ascii="Cambria" w:hAnsi="Cambria" w:cs="Cambria" w:eastAsia="Cambria"/>
          <w:b/>
          <w:color w:val="2E5DA6"/>
          <w:spacing w:val="0"/>
          <w:position w:val="0"/>
          <w:sz w:val="24"/>
          <w:shd w:fill="auto" w:val="clear"/>
        </w:rPr>
        <w:t xml:space="preserve">Вычислительная применимость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Практическая ценность метода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предварительная разметка числового континуума перед ресурсоёмкими алгоритмами. Потенциальные приложения:</w:t>
      </w:r>
    </w:p>
    <w:p>
      <w:pPr>
        <w:numPr>
          <w:ilvl w:val="0"/>
          <w:numId w:val="112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Алгоритм MPQS: зоны ЗКР могут использоваться для приоритизации интервалов при решётчатом просеивании, сокращая число кандидатов без гарантированного пропуска простых чисел.</w:t>
      </w:r>
    </w:p>
    <w:p>
      <w:pPr>
        <w:numPr>
          <w:ilvl w:val="0"/>
          <w:numId w:val="112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Поиск B-гладких чисел: предсказанные зоны высокой плотности коррелируют с зонами повышенной гладкости, что теоретически мотивирует применение в GNFS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однако требует самостоятельной верификации.</w:t>
      </w:r>
    </w:p>
    <w:p>
      <w:pPr>
        <w:numPr>
          <w:ilvl w:val="0"/>
          <w:numId w:val="112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Оценка: предварительные расчёты указывают на сокращение области просеивания на 15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20%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при потере не более 2% кандидатов. Данная оценка не верифицирована на полном алгоритме факторизации.</w:t>
      </w:r>
    </w:p>
    <w:p>
      <w:pPr>
        <w:spacing w:before="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68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FFFBEC" w:val="clear"/>
        </w:rPr>
      </w:pPr>
      <w:r>
        <w:rPr>
          <w:rFonts w:ascii="Segoe UI Symbol" w:hAnsi="Segoe UI Symbol" w:cs="Segoe UI Symbol" w:eastAsia="Segoe UI Symbol"/>
          <w:b/>
          <w:color w:val="8B6000"/>
          <w:spacing w:val="0"/>
          <w:position w:val="0"/>
          <w:sz w:val="22"/>
          <w:shd w:fill="FFFBEC" w:val="clear"/>
        </w:rPr>
        <w:t xml:space="preserve">⚠</w:t>
      </w:r>
      <w:r>
        <w:rPr>
          <w:rFonts w:ascii="Cambria" w:hAnsi="Cambria" w:cs="Cambria" w:eastAsia="Cambria"/>
          <w:b/>
          <w:color w:val="8B6000"/>
          <w:spacing w:val="0"/>
          <w:position w:val="0"/>
          <w:sz w:val="22"/>
          <w:shd w:fill="FFFBEC" w:val="clear"/>
        </w:rPr>
        <w:t xml:space="preserve">  </w:t>
      </w:r>
      <w:r>
        <w:rPr>
          <w:rFonts w:ascii="Cambria" w:hAnsi="Cambria" w:cs="Cambria" w:eastAsia="Cambria"/>
          <w:b/>
          <w:color w:val="8B6000"/>
          <w:spacing w:val="0"/>
          <w:position w:val="0"/>
          <w:sz w:val="22"/>
          <w:shd w:fill="FFFBEC" w:val="clear"/>
        </w:rPr>
        <w:t xml:space="preserve">Предостережение.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FFFBEC" w:val="clear"/>
        </w:rPr>
        <w:t xml:space="preserve">Авторы не претендуют на создание принципиально нового метода факторизации или ускорение RSA-криптоанализа. Описанные применения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FFFBEC" w:val="clear"/>
        </w:rPr>
        <w:t xml:space="preserve">—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FFFBEC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2"/>
          <w:shd w:fill="FFFBEC" w:val="clear"/>
        </w:rPr>
        <w:t xml:space="preserve">предварительные гипотезы, требующие независимой верификации.</w:t>
      </w:r>
    </w:p>
    <w:p>
      <w:pPr>
        <w:spacing w:before="0" w:after="1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420" w:after="140" w:line="240"/>
        <w:ind w:right="0" w:left="0" w:firstLine="0"/>
        <w:jc w:val="left"/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5. </w:t>
      </w: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Заключение</w:t>
      </w: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В настоящей работе предложена и статистически верифицирована вычислительная эвристика для локализации интервалов с аномальной плотностью простых чисел. Основные результаты:</w:t>
      </w:r>
    </w:p>
    <w:p>
      <w:pPr>
        <w:numPr>
          <w:ilvl w:val="0"/>
          <w:numId w:val="118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Введён операциональный критерий отбора нулей по вкладу в локальную дисперсию, обеспечивающий гипотетическое сокращение числа суммируемых гармоник с O(N) до O(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√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N log N).</w:t>
      </w:r>
    </w:p>
    <w:p>
      <w:pPr>
        <w:numPr>
          <w:ilvl w:val="0"/>
          <w:numId w:val="118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Слепое тестирование на 10 000 интервалах показало устойчивое положительное смещение плотности в зонах конструктивного резонанса (Z = 4.22, P = 1.2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·10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⁻⁵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).</w:t>
      </w:r>
    </w:p>
    <w:p>
      <w:pPr>
        <w:numPr>
          <w:ilvl w:val="0"/>
          <w:numId w:val="118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Permutation-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тест (p &lt; 10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⁻⁴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)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подтвердил, что эффект обусловлен специфической структурой нулей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ζ(s).</w:t>
      </w:r>
    </w:p>
    <w:p>
      <w:pPr>
        <w:numPr>
          <w:ilvl w:val="0"/>
          <w:numId w:val="118"/>
        </w:numPr>
        <w:spacing w:before="40" w:after="40" w:line="260"/>
        <w:ind w:right="0" w:left="720" w:hanging="36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Обсуждены конкретные применения для оптимизации алгоритмов просеивания (MPQS, GNFS).</w:t>
      </w: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Работа не решает задачу предсказания простых чисел с произвольной точностью и не ставит под сомнение псевдослучайный характер их распределения на малых масштабах. Её вклад носит прикладной характер: демонстрация того, что явная формула Римана может служить практическим инструментом предварительной разметки числового континуума с вычислительной эффективностью, превышающей полный спектральный расчёт.</w:t>
      </w: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Направления дальнейших исследований: строгое доказательство Утверждения 1; верификация при x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∼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 10²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⁰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; </w:t>
      </w:r>
      <w:r>
        <w:rPr>
          <w:rFonts w:ascii="Cambria" w:hAnsi="Cambria" w:cs="Cambria" w:eastAsia="Cambria"/>
          <w:color w:val="222222"/>
          <w:spacing w:val="0"/>
          <w:position w:val="0"/>
          <w:sz w:val="22"/>
          <w:shd w:fill="auto" w:val="clear"/>
        </w:rPr>
        <w:t xml:space="preserve">численное сравнение с просеивателем Аткина; интеграция в прототип MPQS для измерения реального ускорения.</w:t>
      </w:r>
    </w:p>
    <w:p>
      <w:pPr>
        <w:spacing w:before="0" w:after="12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420" w:after="140" w:line="240"/>
        <w:ind w:right="0" w:left="0" w:firstLine="0"/>
        <w:jc w:val="left"/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</w:pPr>
      <w:r>
        <w:rPr>
          <w:rFonts w:ascii="Cambria" w:hAnsi="Cambria" w:cs="Cambria" w:eastAsia="Cambria"/>
          <w:b/>
          <w:color w:val="1B3A6B"/>
          <w:spacing w:val="0"/>
          <w:position w:val="0"/>
          <w:sz w:val="30"/>
          <w:shd w:fill="auto" w:val="clear"/>
        </w:rPr>
        <w:t xml:space="preserve">Список литературы</w:t>
      </w:r>
    </w:p>
    <w:p>
      <w:pPr>
        <w:spacing w:before="0" w:after="4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80"/>
        <w:gridCol w:w="1900"/>
        <w:gridCol w:w="4260"/>
        <w:gridCol w:w="2620"/>
      </w:tblGrid>
      <w:tr>
        <w:trPr>
          <w:trHeight w:val="1" w:hRule="atLeast"/>
          <w:jc w:val="left"/>
        </w:trPr>
        <w:tc>
          <w:tcPr>
            <w:tcW w:w="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[1]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Riemann, B. (1859)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i/>
                <w:color w:val="2E5DA6"/>
                <w:spacing w:val="0"/>
                <w:position w:val="0"/>
                <w:sz w:val="18"/>
                <w:shd w:fill="auto" w:val="clear"/>
              </w:rPr>
              <w:t xml:space="preserve">Über die Anzahl der Primzahlen unter einer gegebenen Grösse</w:t>
            </w:r>
          </w:p>
        </w:tc>
        <w:tc>
          <w:tcPr>
            <w:tcW w:w="2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Monatsber. Berliner Akad.</w:t>
            </w:r>
          </w:p>
        </w:tc>
      </w:tr>
      <w:tr>
        <w:trPr>
          <w:trHeight w:val="1" w:hRule="atLeast"/>
          <w:jc w:val="left"/>
        </w:trPr>
        <w:tc>
          <w:tcPr>
            <w:tcW w:w="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[2]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von Mangoldt, H. (1905)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i/>
                <w:color w:val="2E5DA6"/>
                <w:spacing w:val="0"/>
                <w:position w:val="0"/>
                <w:sz w:val="18"/>
                <w:shd w:fill="auto" w:val="clear"/>
              </w:rPr>
              <w:t xml:space="preserve">Zur Verteilung der Nullstellen der Riemannschen Funktion </w:t>
            </w:r>
            <w:r>
              <w:rPr>
                <w:rFonts w:ascii="Cambria" w:hAnsi="Cambria" w:cs="Cambria" w:eastAsia="Cambria"/>
                <w:i/>
                <w:color w:val="2E5DA6"/>
                <w:spacing w:val="0"/>
                <w:position w:val="0"/>
                <w:sz w:val="18"/>
                <w:shd w:fill="auto" w:val="clear"/>
              </w:rPr>
              <w:t xml:space="preserve">ξ(t)</w:t>
            </w:r>
          </w:p>
        </w:tc>
        <w:tc>
          <w:tcPr>
            <w:tcW w:w="2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Math. Ann. 60</w:t>
            </w:r>
          </w:p>
        </w:tc>
      </w:tr>
      <w:tr>
        <w:trPr>
          <w:trHeight w:val="1" w:hRule="atLeast"/>
          <w:jc w:val="left"/>
        </w:trPr>
        <w:tc>
          <w:tcPr>
            <w:tcW w:w="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[3]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Montgomery, H. L. (1973)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i/>
                <w:color w:val="2E5DA6"/>
                <w:spacing w:val="0"/>
                <w:position w:val="0"/>
                <w:sz w:val="18"/>
                <w:shd w:fill="auto" w:val="clear"/>
              </w:rPr>
              <w:t xml:space="preserve">The pair correlation of zeros of the zeta function</w:t>
            </w:r>
          </w:p>
        </w:tc>
        <w:tc>
          <w:tcPr>
            <w:tcW w:w="2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Proc. Symp. Pure Math. 24</w:t>
            </w:r>
          </w:p>
        </w:tc>
      </w:tr>
      <w:tr>
        <w:trPr>
          <w:trHeight w:val="1" w:hRule="atLeast"/>
          <w:jc w:val="left"/>
        </w:trPr>
        <w:tc>
          <w:tcPr>
            <w:tcW w:w="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[4]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Odlyzko, A. M. (1987)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i/>
                <w:color w:val="2E5DA6"/>
                <w:spacing w:val="0"/>
                <w:position w:val="0"/>
                <w:sz w:val="18"/>
                <w:shd w:fill="auto" w:val="clear"/>
              </w:rPr>
              <w:t xml:space="preserve">On the distribution of spacings between zeros of the zeta function</w:t>
            </w:r>
          </w:p>
        </w:tc>
        <w:tc>
          <w:tcPr>
            <w:tcW w:w="2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Math. Comp. 48(177)</w:t>
            </w:r>
          </w:p>
        </w:tc>
      </w:tr>
      <w:tr>
        <w:trPr>
          <w:trHeight w:val="1" w:hRule="atLeast"/>
          <w:jc w:val="left"/>
        </w:trPr>
        <w:tc>
          <w:tcPr>
            <w:tcW w:w="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[5]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Bombieri, E. (2000)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i/>
                <w:color w:val="2E5DA6"/>
                <w:spacing w:val="0"/>
                <w:position w:val="0"/>
                <w:sz w:val="18"/>
                <w:shd w:fill="auto" w:val="clear"/>
              </w:rPr>
              <w:t xml:space="preserve">Problems of the Millennium: The Riemann Hypothesis</w:t>
            </w:r>
          </w:p>
        </w:tc>
        <w:tc>
          <w:tcPr>
            <w:tcW w:w="2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Clay Math. Institute</w:t>
            </w:r>
          </w:p>
        </w:tc>
      </w:tr>
      <w:tr>
        <w:trPr>
          <w:trHeight w:val="1" w:hRule="atLeast"/>
          <w:jc w:val="left"/>
        </w:trPr>
        <w:tc>
          <w:tcPr>
            <w:tcW w:w="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[6]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Mehta, M. L. (2004)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i/>
                <w:color w:val="2E5DA6"/>
                <w:spacing w:val="0"/>
                <w:position w:val="0"/>
                <w:sz w:val="18"/>
                <w:shd w:fill="auto" w:val="clear"/>
              </w:rPr>
              <w:t xml:space="preserve">Random Matrices (3rd ed.)</w:t>
            </w:r>
          </w:p>
        </w:tc>
        <w:tc>
          <w:tcPr>
            <w:tcW w:w="2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Academic Press</w:t>
            </w:r>
          </w:p>
        </w:tc>
      </w:tr>
      <w:tr>
        <w:trPr>
          <w:trHeight w:val="1" w:hRule="atLeast"/>
          <w:jc w:val="left"/>
        </w:trPr>
        <w:tc>
          <w:tcPr>
            <w:tcW w:w="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[7]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Conrey, J. B. (2003)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i/>
                <w:color w:val="2E5DA6"/>
                <w:spacing w:val="0"/>
                <w:position w:val="0"/>
                <w:sz w:val="18"/>
                <w:shd w:fill="auto" w:val="clear"/>
              </w:rPr>
              <w:t xml:space="preserve">The Riemann Hypothesis</w:t>
            </w:r>
          </w:p>
        </w:tc>
        <w:tc>
          <w:tcPr>
            <w:tcW w:w="2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7f9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Notices AMS 50(3)</w:t>
            </w:r>
          </w:p>
        </w:tc>
      </w:tr>
      <w:tr>
        <w:trPr>
          <w:trHeight w:val="1" w:hRule="atLeast"/>
          <w:jc w:val="left"/>
        </w:trPr>
        <w:tc>
          <w:tcPr>
            <w:tcW w:w="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[8]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Cohen, H. &amp; Lenstra, H. (1984)</w:t>
            </w:r>
          </w:p>
        </w:tc>
        <w:tc>
          <w:tcPr>
            <w:tcW w:w="4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i/>
                <w:color w:val="2E5DA6"/>
                <w:spacing w:val="0"/>
                <w:position w:val="0"/>
                <w:sz w:val="18"/>
                <w:shd w:fill="auto" w:val="clear"/>
              </w:rPr>
              <w:t xml:space="preserve">Heuristics on class groups of number fields</w:t>
            </w:r>
          </w:p>
        </w:tc>
        <w:tc>
          <w:tcPr>
            <w:tcW w:w="26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444444"/>
                <w:spacing w:val="0"/>
                <w:position w:val="0"/>
                <w:sz w:val="18"/>
                <w:shd w:fill="auto" w:val="clear"/>
              </w:rPr>
              <w:t xml:space="preserve">Lect. Notes Math. 1068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999999"/>
          <w:spacing w:val="0"/>
          <w:position w:val="0"/>
          <w:sz w:val="18"/>
          <w:shd w:fill="auto" w:val="clear"/>
        </w:rPr>
        <w:t xml:space="preserve">Препринт </w:t>
      </w:r>
      <w:r>
        <w:rPr>
          <w:rFonts w:ascii="Cambria" w:hAnsi="Cambria" w:cs="Cambria" w:eastAsia="Cambria"/>
          <w:i/>
          <w:color w:val="999999"/>
          <w:spacing w:val="0"/>
          <w:position w:val="0"/>
          <w:sz w:val="18"/>
          <w:shd w:fill="auto" w:val="clear"/>
        </w:rPr>
        <w:t xml:space="preserve">· </w:t>
      </w:r>
      <w:r>
        <w:rPr>
          <w:rFonts w:ascii="Cambria" w:hAnsi="Cambria" w:cs="Cambria" w:eastAsia="Cambria"/>
          <w:i/>
          <w:color w:val="999999"/>
          <w:spacing w:val="0"/>
          <w:position w:val="0"/>
          <w:sz w:val="18"/>
          <w:shd w:fill="auto" w:val="clear"/>
        </w:rPr>
        <w:t xml:space="preserve">Замечания направлять по адресу: </w:t>
      </w:r>
      <w:r>
        <w:rPr>
          <w:rFonts w:ascii="Cambria" w:hAnsi="Cambria" w:cs="Cambria" w:eastAsia="Cambria"/>
          <w:i/>
          <w:color w:val="999999"/>
          <w:spacing w:val="0"/>
          <w:position w:val="0"/>
          <w:sz w:val="18"/>
          <w:shd w:fill="auto" w:val="clear"/>
        </w:rPr>
        <w:t xml:space="preserve">anyalink99@gmail.com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52">
    <w:abstractNumId w:val="24"/>
  </w:num>
  <w:num w:numId="96">
    <w:abstractNumId w:val="18"/>
  </w:num>
  <w:num w:numId="103">
    <w:abstractNumId w:val="12"/>
  </w:num>
  <w:num w:numId="112">
    <w:abstractNumId w:val="6"/>
  </w:num>
  <w:num w:numId="1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