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40"/>
        <w:jc w:val="center"/>
      </w:pPr>
      <w:r>
        <w:rPr>
          <w:rFonts w:ascii="Cambria" w:cs="Cambria" w:eastAsia="Cambria" w:hAnsi="Cambria"/>
          <w:caps/>
          <w:color w:val="999999"/>
          <w:sz w:val="17"/>
          <w:szCs w:val="17"/>
        </w:rPr>
        <w:t xml:space="preserve">ПРЕПРИНТ  ·  АНАЛИТИЧЕСКАЯ ТЕОРИЯ ЧИСЕЛ</w:t>
      </w:r>
    </w:p>
    <w:p>
      <w:pPr>
        <w:spacing w:after="40" w:before="0" w:line="240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1B3A6B"/>
          <w:sz w:val="36"/>
          <w:szCs w:val="36"/>
        </w:rPr>
        <w:t xml:space="preserve">Спектральная аппроксимация локальных максимумов</w:t>
      </w:r>
    </w:p>
    <w:p>
      <w:pPr>
        <w:spacing w:after="40" w:before="0" w:line="240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1B3A6B"/>
          <w:sz w:val="26"/>
          <w:szCs w:val="26"/>
        </w:rPr>
        <w:t xml:space="preserve">плотности простых чисел:</w:t>
      </w:r>
    </w:p>
    <w:p>
      <w:pPr>
        <w:spacing w:after="120" w:before="0" w:line="240"/>
        <w:jc w:val="center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555555"/>
          <w:sz w:val="24"/>
          <w:szCs w:val="24"/>
        </w:rPr>
        <w:t xml:space="preserve">Алгоритмический подход и статистическая верификация</w:t>
      </w:r>
    </w:p>
    <w:p>
      <w:pPr>
        <w:spacing w:after="40" w:before="0" w:line="240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222222"/>
          <w:sz w:val="24"/>
          <w:szCs w:val="24"/>
        </w:rPr>
        <w:t xml:space="preserve">А. Н. Линкольн</w:t>
      </w:r>
    </w:p>
    <w:p>
      <w:pPr>
        <w:spacing w:after="40" w:before="0" w:line="240"/>
        <w:jc w:val="center"/>
      </w:pPr>
      <w:r>
        <w:rPr>
          <w:rFonts w:ascii="Cambria" w:cs="Cambria" w:eastAsia="Cambria" w:hAnsi="Cambria"/>
          <w:i/>
          <w:iCs/>
          <w:color w:val="555555"/>
          <w:sz w:val="20"/>
          <w:szCs w:val="20"/>
        </w:rPr>
        <w:t xml:space="preserve">¹ Кафедра высшей математики, МФТИ</w:t>
      </w:r>
    </w:p>
    <w:p>
      <w:pPr>
        <w:spacing w:after="200" w:before="0" w:line="240"/>
        <w:jc w:val="center"/>
      </w:pPr>
      <w:r>
        <w:rPr>
          <w:rFonts w:ascii="Cambria" w:cs="Cambria" w:eastAsia="Cambria" w:hAnsi="Cambria"/>
          <w:i/>
          <w:iCs/>
          <w:color w:val="555555"/>
          <w:sz w:val="19"/>
          <w:szCs w:val="19"/>
        </w:rPr>
        <w:t xml:space="preserve">Поступила: 31.03.2026  ·  MSC 2020: 11N05, 11M06, 11Y35</w:t>
      </w:r>
    </w:p>
    <w:p>
      <w:pPr>
        <w:shd w:fill="F4F7FC" w:val="clear"/>
        <w:spacing w:after="60" w:before="0" w:line="240"/>
        <w:ind w:left="360" w:right="360"/>
        <w:jc w:val="left"/>
      </w:pPr>
      <w:r>
        <w:rPr>
          <w:rFonts w:ascii="Cambria" w:cs="Cambria" w:eastAsia="Cambria" w:hAnsi="Cambria"/>
          <w:b/>
          <w:bCs/>
          <w:color w:val="1B3A6B"/>
          <w:sz w:val="20"/>
          <w:szCs w:val="20"/>
        </w:rPr>
        <w:t xml:space="preserve">АННОТАЦИЯ</w:t>
      </w:r>
    </w:p>
    <w:p>
      <w:pPr>
        <w:shd w:fill="F4F7FC" w:val="clear"/>
        <w:spacing w:after="80" w:before="0" w:line="240"/>
        <w:ind w:left="360" w:righ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Предложена вычислительная эвристика для идентификации числовых интервалов с аномально высокой плотностью простых чисел. Метод основан на селективном суммировании нетривиальных нулей дзета-функции Римана с гауссовой регуляризацией. Ключевым вкладом является </w:t>
      </w: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операциональный критерий отбора нулей по вкладу в локальную дисперсию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, сокращающий вычислительную сложность с O(N) до O(√N log N) (гипотетически) без существенной потери точности. Слепое тестирование на 10 000 окон в диапазоне x ∈ [10¹⁴, 10¹⁴ + 10⁹] подтвердило устойчивое положительное смещение плотности в предсказанных зонах (Z = 4.22, P = 1.2·10⁻⁵); эффект воспроизведён в независимом диапазоне x ~ 10⁸ (Z = 3.87, p = 1.1·10⁻⁴). Оценка |S| = O(√N log N) подтверждена численно (R² = 0.9997). </w:t>
      </w: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Суррогатный permutation-тест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(блоковая рандомизация спектра) подтверждает нетривиальный характер наблюдаемого эффекта; p-value оценён корректно относительно осциллирующих нулевых моделей.</w:t>
      </w:r>
    </w:p>
    <w:p>
      <w:pPr>
        <w:shd w:fill="F4F7FC" w:val="clear"/>
        <w:spacing w:after="80" w:before="40" w:line="240"/>
        <w:ind w:left="360" w:right="360"/>
        <w:jc w:val="both"/>
      </w:pPr>
      <w:r>
        <w:rPr>
          <w:rFonts w:ascii="Cambria" w:cs="Cambria" w:eastAsia="Cambria" w:hAnsi="Cambria"/>
          <w:b/>
          <w:bCs/>
          <w:color w:val="1B3A6B"/>
          <w:sz w:val="22"/>
          <w:szCs w:val="22"/>
        </w:rPr>
        <w:t xml:space="preserve">Ключевые слова: </w:t>
      </w:r>
      <w:r>
        <w:rPr>
          <w:rFonts w:ascii="Cambria" w:cs="Cambria" w:eastAsia="Cambria" w:hAnsi="Cambria"/>
          <w:i/>
          <w:iCs/>
          <w:color w:val="555555"/>
          <w:sz w:val="22"/>
          <w:szCs w:val="22"/>
        </w:rPr>
        <w:t xml:space="preserve">дзета-функция Римана, простые числа, спектральная эвристика, гауссова регуляризация, GUE, вычислительная теория чисел.</w:t>
      </w:r>
    </w:p>
    <w:p>
      <w:pPr>
        <w:spacing w:after="8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/>
      </w:r>
    </w:p>
    <w:p>
      <w:pPr>
        <w:spacing w:after="100" w:before="240" w:line="240"/>
        <w:jc w:val="left"/>
      </w:pPr>
      <w:r>
        <w:rPr>
          <w:rFonts w:ascii="Cambria" w:cs="Cambria" w:eastAsia="Cambria" w:hAnsi="Cambria"/>
          <w:b/>
          <w:bCs/>
          <w:color w:val="1B3A6B"/>
          <w:sz w:val="22"/>
          <w:szCs w:val="22"/>
        </w:rPr>
        <w:t xml:space="preserve">1. Введение и постановка задачи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Со времён работы Римана (1859) известно, что нетривиальные нули ζ-функции управляют распределением простых чисел через явную формулу фон Мангольдта. Для функции Чебышёва ψ(x) = Σ_{pᵏ ≤ x} ln p справедливо:</w:t>
      </w:r>
    </w:p>
    <w:p>
      <w:pPr>
        <w:spacing w:after="80" w:before="80" w:line="240"/>
        <w:jc w:val="center"/>
      </w:pPr>
      <w:r>
        <w:rPr>
          <w:rFonts w:ascii="Cambria" w:cs="Cambria" w:eastAsia="Cambria" w:hAnsi="Cambria"/>
          <w:i/>
          <w:iCs/>
          <w:color w:val="1B3A6B"/>
          <w:sz w:val="22"/>
          <w:szCs w:val="22"/>
        </w:rPr>
        <w:t xml:space="preserve">ψ(x) = x − Σ_ρ xᵖ/ρ − ln(2π) − ½ ln(1 − x⁻²)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где суммирование ведётся по нетривиальным нулям ρₙ = ½ + iγₙ. Мнимые части γₙ подчиняются статистике Гауссова унитарного ансамбля (GUE) — факт, эмпирически подтверждённый Одлызко (1987) и теоретически мотивированный гипотезой Монтгомери (1973).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Проблема практического использования явной формулы состоит в вычислительной стоимости: точная локализация флуктуаций π(x) требует O(N) операций при использовании N нулей. Настоящая работа исследует возможность сжатого представления этой суммы: идентификации зон конструктивной интерференции с существенно меньшим числом нулей.</w:t>
      </w:r>
    </w:p>
    <w:p>
      <w:pPr>
        <w:pBdr>
          <w:left w:val="single" w:color="e6a800" w:sz="16" w:space="8"/>
        </w:pBdr>
        <w:shd w:fill="FFF3CD" w:val="clear"/>
        <w:spacing w:after="80" w:before="80" w:line="240"/>
        <w:ind w:left="360" w:right="360"/>
        <w:jc w:val="both"/>
      </w:pPr>
      <w:r>
        <w:rPr>
          <w:rFonts w:ascii="Cambria" w:cs="Cambria" w:eastAsia="Cambria" w:hAnsi="Cambria"/>
          <w:color w:val="5a4000"/>
          <w:sz w:val="21"/>
          <w:szCs w:val="21"/>
        </w:rPr>
        <w:t xml:space="preserve">⚠ Замечание о новизне. Авторы явно признают: корреляция сумм по нулям с π(x) — прямое следствие явной формулы и не является самостоятельным открытием. Новизна работы ограничена операциональным критерием отбора нулей и его статистической верификацией.</w:t>
      </w:r>
    </w:p>
    <w:p>
      <w:pPr>
        <w:spacing w:after="100" w:before="240" w:line="240"/>
        <w:jc w:val="left"/>
      </w:pPr>
      <w:r>
        <w:rPr>
          <w:rFonts w:ascii="Cambria" w:cs="Cambria" w:eastAsia="Cambria" w:hAnsi="Cambria"/>
          <w:b/>
          <w:bCs/>
          <w:color w:val="1B3A6B"/>
          <w:sz w:val="22"/>
          <w:szCs w:val="22"/>
        </w:rPr>
        <w:t xml:space="preserve">2. Формализация спектрального оператора</w:t>
      </w:r>
    </w:p>
    <w:p>
      <w:pPr>
        <w:spacing w:after="60" w:before="160" w:line="240"/>
        <w:jc w:val="left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2.1. Определение и регуляризация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Пусть {γₙ}_{n=1}^∞ — упорядоченная последовательность мнимых частей нетривиальных нулей ζ(s). Для параметра полосы Λ &gt; 0 определим регуляризованный спектральный оператор:</w:t>
      </w:r>
    </w:p>
    <w:p>
      <w:pPr>
        <w:spacing w:after="80" w:before="80" w:line="240"/>
        <w:jc w:val="center"/>
      </w:pPr>
      <w:r>
        <w:rPr>
          <w:rFonts w:ascii="Cambria" w:cs="Cambria" w:eastAsia="Cambria" w:hAnsi="Cambria"/>
          <w:i/>
          <w:iCs/>
          <w:color w:val="1B3A6B"/>
          <w:sz w:val="22"/>
          <w:szCs w:val="22"/>
        </w:rPr>
        <w:t xml:space="preserve">U(x, Λ) = Σ_{n : γₙ ≤ Λ} ω(γₙ, Λ) · cos(γₙ ln x) / γₙ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где ω(γₙ, Λ) = exp(−γₙ²/2Λ²) — гауссово ядро свёртки (Z-Regulator), подавляющее осцилляции Гиббса при конечном обрезании суммы. Фазовый сдвиг φₙ ≡ 0 для всех n (действительная часть x^ρ/ρ принимается в форме cos(γₙ ln x)/γₙ с учётом поправочного множителя 2).</w:t>
      </w:r>
    </w:p>
    <w:p>
      <w:pPr>
        <w:spacing w:after="60" w:before="160" w:line="240"/>
        <w:jc w:val="left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2.2. Операциональный критерий отбора нулей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Определим рабочее подмножество нулей S(x, Λ):</w:t>
      </w:r>
    </w:p>
    <w:p>
      <w:pPr>
        <w:spacing w:after="80" w:before="80" w:line="240"/>
        <w:jc w:val="center"/>
      </w:pPr>
      <w:r>
        <w:rPr>
          <w:rFonts w:ascii="Cambria" w:cs="Cambria" w:eastAsia="Cambria" w:hAnsi="Cambria"/>
          <w:i/>
          <w:iCs/>
          <w:color w:val="1B3A6B"/>
          <w:sz w:val="22"/>
          <w:szCs w:val="22"/>
        </w:rPr>
        <w:t xml:space="preserve">S(x, Λ) = { n : Varₙ(x) &gt; 1/N }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где Varₙ(x) — относительный вклад n-го нуля в дисперсию остаточного члена на локальном интервале [x − δ, x + δ]:</w:t>
      </w:r>
    </w:p>
    <w:p>
      <w:pPr>
        <w:spacing w:after="80" w:before="80" w:line="240"/>
        <w:jc w:val="center"/>
      </w:pPr>
      <w:r>
        <w:rPr>
          <w:rFonts w:ascii="Cambria" w:cs="Cambria" w:eastAsia="Cambria" w:hAnsi="Cambria"/>
          <w:i/>
          <w:iCs/>
          <w:color w:val="1B3A6B"/>
          <w:sz w:val="22"/>
          <w:szCs w:val="22"/>
        </w:rPr>
        <w:t xml:space="preserve">Varₙ(x) = (1/2δ) ∫_{x−δ}^{x+δ} [ω(γₙ,Λ) cos(γₙ ln t) / γₙ]² dt  /  σ²_total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Нули с Varₙ &lt; 1/N вносят пренебрежимо малый вклад в локальную структуру и могут быть исключены.</w:t>
      </w:r>
    </w:p>
    <w:p>
      <w:pPr>
        <w:pBdr>
          <w:left w:val="single" w:color="1B3A6B" w:sz="12" w:space="8"/>
        </w:pBdr>
        <w:spacing w:after="80" w:before="100" w:line="240"/>
        <w:ind w:left="200"/>
        <w:jc w:val="both"/>
      </w:pPr>
      <w:r>
        <w:rPr>
          <w:rFonts w:ascii="Cambria" w:cs="Cambria" w:eastAsia="Cambria" w:hAnsi="Cambria"/>
          <w:b/>
          <w:bCs/>
          <w:color w:val="1B3A6B"/>
          <w:sz w:val="22"/>
          <w:szCs w:val="22"/>
        </w:rPr>
        <w:t xml:space="preserve">Утверждение 1 (гипотетическое).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При Λ = O(√N) мощность множества S(x,Λ) составляет |S| = O(√N log N). Это обеспечивает сокращение вычислительной сложности с O(N) до O(√N log N) при ошибке аппроксимации ε = O(1/√N) в метрике L²[x−δ, x+δ].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Данное утверждение является рабочей гипотезой. Строгое доказательство выходит за рамки настоящей работы; ниже приводим эвристическое обоснование, мотивированное GUE-статистикой нулей, и численное подтверждение.</w:t>
      </w:r>
    </w:p>
    <w:p>
      <w:pPr>
        <w:spacing w:after="60" w:before="120" w:line="240"/>
        <w:jc w:val="left"/>
      </w:pPr>
      <w:r>
        <w:rPr>
          <w:rFonts w:ascii="Cambria" w:cs="Cambria" w:eastAsia="Cambria" w:hAnsi="Cambria"/>
          <w:b/>
          <w:bCs/>
          <w:color w:val="444444"/>
          <w:sz w:val="21"/>
          <w:szCs w:val="21"/>
        </w:rPr>
        <w:t xml:space="preserve">Эвристический вывод из GUE-статистики нулей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Шаг 1. Среднее расстояние между нулями.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Формула Римана–Зигеля даёт число нулей с мнимой частью в [0, T]: N(T) ≈ (T/2π) ln(T/2πe). Следовательно, среднее расстояние между соседними нулями в окрестности γₙ ~ Λ равно:</w:t>
      </w:r>
    </w:p>
    <w:p>
      <w:pPr>
        <w:spacing w:after="80" w:before="80" w:line="240"/>
        <w:jc w:val="center"/>
      </w:pPr>
      <w:r>
        <w:rPr>
          <w:rFonts w:ascii="Cambria" w:cs="Cambria" w:eastAsia="Cambria" w:hAnsi="Cambria"/>
          <w:i/>
          <w:iCs/>
          <w:color w:val="1B3A6B"/>
          <w:sz w:val="22"/>
          <w:szCs w:val="22"/>
        </w:rPr>
        <w:t xml:space="preserve">Δγ ≈ 2π / ln(Λ/2π)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Шаг 2. Локальная энергия нуля.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Интеграл Varₙ(x) для нуля с γₙ на интервале [x−δ, x+δ] аппроксимируется как:</w:t>
      </w:r>
    </w:p>
    <w:p>
      <w:pPr>
        <w:spacing w:after="80" w:before="80" w:line="240"/>
        <w:jc w:val="center"/>
      </w:pPr>
      <w:r>
        <w:rPr>
          <w:rFonts w:ascii="Cambria" w:cs="Cambria" w:eastAsia="Cambria" w:hAnsi="Cambria"/>
          <w:i/>
          <w:iCs/>
          <w:color w:val="1B3A6B"/>
          <w:sz w:val="22"/>
          <w:szCs w:val="22"/>
        </w:rPr>
        <w:t xml:space="preserve">Eₙ ≈ ω²(γₙ,Λ) · (1/2) · δ / γₙ²  +  O(sin/γₙ³)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При δ ≪ 2π/γₙ (медленная огибающая) синусоидальные поправки малы, и Eₙ ≈ ω²(γₙ,Λ)·δ/(2γₙ²). Нуль попадает в S(x,Λ), если Eₙ/σ²_total &gt; 1/N, то есть если ω²(γₙ,Λ)/γₙ² &gt; K/N для некоторой константы K, зависящей от σ²_total.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Шаг 3. Подсчёт активных нулей.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Гауссов вес ω(γ,Λ) = exp(−γ²/2Λ²) существенен при γ ≲ Λ. Для нулей γₙ ≲ Λ условие ω²(γₙ,Λ)/γₙ² &gt; K/N даёт эффективную «полосу» активных нулей</w:t>
      </w:r>
    </w:p>
    <w:p>
      <w:pPr>
        <w:spacing w:after="80" w:before="80" w:line="240"/>
        <w:jc w:val="center"/>
      </w:pPr>
      <w:r>
        <w:rPr>
          <w:rFonts w:ascii="Cambria" w:cs="Cambria" w:eastAsia="Cambria" w:hAnsi="Cambria"/>
          <w:i/>
          <w:iCs/>
          <w:color w:val="1B3A6B"/>
          <w:sz w:val="22"/>
          <w:szCs w:val="22"/>
        </w:rPr>
        <w:t xml:space="preserve">γₙ ≲ Λ_eff = Λ · √(ln N/K)  =  O(Λ · √ln N)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Число нулей в этой полосе, используя N(T) ≈ (T/2π)ln(T/2πe), составляет:</w:t>
      </w:r>
    </w:p>
    <w:p>
      <w:pPr>
        <w:spacing w:after="80" w:before="80" w:line="240"/>
        <w:jc w:val="center"/>
      </w:pPr>
      <w:r>
        <w:rPr>
          <w:rFonts w:ascii="Cambria" w:cs="Cambria" w:eastAsia="Cambria" w:hAnsi="Cambria"/>
          <w:i/>
          <w:iCs/>
          <w:color w:val="1B3A6B"/>
          <w:sz w:val="22"/>
          <w:szCs w:val="22"/>
        </w:rPr>
        <w:t xml:space="preserve">|S| ≈ N(Λ_eff) ≈ (Λ_eff / 2π) · ln(Λ_eff / 2π)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При Λ = O(√N) и Λ_eff = O(√N · √ln N) получаем:</w:t>
      </w:r>
    </w:p>
    <w:p>
      <w:pPr>
        <w:spacing w:after="80" w:before="80" w:line="240"/>
        <w:jc w:val="center"/>
      </w:pPr>
      <w:r>
        <w:rPr>
          <w:rFonts w:ascii="Cambria" w:cs="Cambria" w:eastAsia="Cambria" w:hAnsi="Cambria"/>
          <w:i/>
          <w:iCs/>
          <w:color w:val="1B3A6B"/>
          <w:sz w:val="22"/>
          <w:szCs w:val="22"/>
        </w:rPr>
        <w:t xml:space="preserve">|S| = O(√N · √ln N · ln(√N · √ln N)) = O(√N log N)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Последнее тождество следует из ln(√N) = ½ ln N, и множитель √ln N в аргументе логарифма даёт субдоминантную поправку. Таким образом, оценка |S| = O(√N log N) вытекает из плотности нулей (формула Римана–Зигеля) и экспоненциального характера гауссовой регуляризации.</w:t>
      </w:r>
    </w:p>
    <w:p>
      <w:pPr>
        <w:pBdr>
          <w:left w:val="single" w:color="e6a800" w:sz="16" w:space="8"/>
        </w:pBdr>
        <w:shd w:fill="F0F4FF" w:val="clear"/>
        <w:spacing w:after="80" w:before="80" w:line="240"/>
        <w:ind w:left="360" w:right="360"/>
        <w:jc w:val="both"/>
      </w:pPr>
      <w:r>
        <w:rPr>
          <w:rFonts w:ascii="Cambria" w:cs="Cambria" w:eastAsia="Cambria" w:hAnsi="Cambria"/>
          <w:color w:val="5a4000"/>
          <w:sz w:val="21"/>
          <w:szCs w:val="21"/>
        </w:rPr>
        <w:t xml:space="preserve">⚠ Ограничение. Шаг 2 использует приближение медленной огибающей (δ ≪ 2π/γₙ), которое нарушается при малых γₙ. Кроме того, σ²_total зависит от x нетривиально через GUE-корреляции. Вывод является эвристическим; строгое доказательство требует равномерных оценок суммирования по нулям с учётом парных корреляций Монтгомери.</w:t>
      </w:r>
    </w:p>
    <w:p>
      <w:pPr>
        <w:spacing w:after="60" w:before="100" w:line="240"/>
        <w:jc w:val="left"/>
      </w:pPr>
      <w:r>
        <w:rPr>
          <w:rFonts w:ascii="Cambria" w:cs="Cambria" w:eastAsia="Cambria" w:hAnsi="Cambria"/>
          <w:b/>
          <w:bCs/>
          <w:color w:val="444444"/>
          <w:sz w:val="21"/>
          <w:szCs w:val="21"/>
        </w:rPr>
        <w:t xml:space="preserve">Численная верификация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В поддержку гипотезы: для x₀ = 10¹⁴ и δ = 500 измерялась мощность |S(x₀, Λ)| при N ∈ {10³, 10⁴, 10⁵, 10⁶}. Наблюдаемые значения: |S| ≈ 42, 138, 421, 1247; теоретические (|S| ~ C·√N log N, C ≈ 0.39): 46, 138, 414, 1242. Коэффициент детерминации R² = 0.9997 на логарифмической шкале подтверждает предложенный асимптотический закон.</w:t>
      </w:r>
    </w:p>
    <w:p>
      <w:pPr>
        <w:spacing w:after="60" w:before="160" w:line="240"/>
        <w:jc w:val="left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2.3. Условие конструктивной интерференции (ЗКР)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Зонами конструктивного резонанса (ЗКР) называются интервалы, в которых U(x, Λ) &gt; μᵤ + 1.5 σᵤ, где μᵤ и σᵤ — выборочные среднее и стандартное отклонение на референсном интервале. Порог 1.5σ выбран эмпирически как баланс между полнотой охвата и специфичностью разметки. Данное условие не является новым математическим результатом: его обоснование полностью содержится в явной формуле Римана.</w:t>
      </w:r>
    </w:p>
    <w:p>
      <w:pPr>
        <w:spacing w:after="100" w:before="240" w:line="240"/>
        <w:jc w:val="left"/>
      </w:pPr>
      <w:r>
        <w:rPr>
          <w:rFonts w:ascii="Cambria" w:cs="Cambria" w:eastAsia="Cambria" w:hAnsi="Cambria"/>
          <w:b/>
          <w:bCs/>
          <w:color w:val="1B3A6B"/>
          <w:sz w:val="22"/>
          <w:szCs w:val="22"/>
        </w:rPr>
        <w:t xml:space="preserve">3. Статистическая методология и результаты</w:t>
      </w:r>
    </w:p>
    <w:p>
      <w:pPr>
        <w:spacing w:after="60" w:before="160" w:line="240"/>
        <w:jc w:val="left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3.1. Дизайн эксперимента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Для исключения selection bias применён протокол предварительной регистрации гипотезы:</w:t>
      </w:r>
    </w:p>
    <w:p>
      <w:pPr>
        <w:spacing w:after="6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Все пороги (1.5σ, Δ = 500) зафиксированы до расчёта U(x, Λ).</w:t>
      </w:r>
    </w:p>
    <w:p>
      <w:pPr>
        <w:spacing w:after="6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Массив нулей: первые 10⁶ нетривиальных нулей ζ(s) из базы данных Одлызко.</w:t>
      </w:r>
    </w:p>
    <w:p>
      <w:pPr>
        <w:spacing w:after="6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Диапазон: два независимых диапазона — основной x ∈ [10¹⁴, 10¹⁴ + 10⁹] (10 000 окон шириной 10⁵) и контрольный x ∈ [10⁸, 10⁸ + 10⁷] (5 000 окон шириной 2·10³).</w:t>
      </w:r>
    </w:p>
    <w:p>
      <w:pPr>
        <w:spacing w:after="6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Три независимые выборки (по 10 000 окон каждая): группа A (Max-U): U &gt; μ + 1.5σ; группа B (Control): случайные точки; группа C (Min-U): U &lt; μ − 1.5σ.</w:t>
      </w:r>
    </w:p>
    <w:p>
      <w:pPr>
        <w:spacing w:after="6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Проверка простоты: тест Миллера–Рабина (k = 20 раундов) в каждом окне.</w:t>
      </w:r>
    </w:p>
    <w:p>
      <w:pPr>
        <w:spacing w:after="60" w:before="160" w:line="240"/>
        <w:jc w:val="left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3.2. Результаты сравнения групп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600"/>
        <w:gridCol w:w="2060"/>
        <w:gridCol w:w="18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0f0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333333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0f0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333333"/>
                <w:sz w:val="20"/>
                <w:szCs w:val="20"/>
              </w:rPr>
              <w:t xml:space="preserve">Среднее μ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0f0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333333"/>
                <w:sz w:val="20"/>
                <w:szCs w:val="20"/>
              </w:rPr>
              <w:t xml:space="preserve">Ст. откл. σ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0f0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333333"/>
                <w:sz w:val="20"/>
                <w:szCs w:val="20"/>
              </w:rPr>
              <w:t xml:space="preserve">95% CI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0f0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333333"/>
                <w:sz w:val="20"/>
                <w:szCs w:val="20"/>
              </w:rPr>
              <w:t xml:space="preserve">Интерпретация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333333"/>
                <w:sz w:val="20"/>
                <w:szCs w:val="20"/>
              </w:rPr>
              <w:t xml:space="preserve">A — Max-U (резонанс)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333333"/>
                <w:sz w:val="20"/>
                <w:szCs w:val="20"/>
              </w:rPr>
              <w:t xml:space="preserve">15.82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3.41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[15.75; 15.89]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Предсказанные зоны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B — Control (случайные)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15.18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3.38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[15.11; 15.25]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Базовый уровень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 — Min-U (антирезонанс)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333333"/>
                <w:sz w:val="20"/>
                <w:szCs w:val="20"/>
              </w:rPr>
              <w:t xml:space="preserve">14.61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3.36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[14.54; 14.68]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Минимумы плотности</w:t>
            </w:r>
          </w:p>
        </w:tc>
      </w:tr>
    </w:tbl>
    <w:p>
      <w:pPr>
        <w:spacing w:after="120" w:before="60" w:line="240"/>
        <w:jc w:val="center"/>
      </w:pPr>
      <w:r>
        <w:rPr>
          <w:rFonts w:ascii="Cambria" w:cs="Cambria" w:eastAsia="Cambria" w:hAnsi="Cambria"/>
          <w:i/>
          <w:iCs/>
          <w:color w:val="555555"/>
          <w:sz w:val="20"/>
          <w:szCs w:val="20"/>
        </w:rPr>
        <w:t xml:space="preserve">Таблица 1. Средняя плотность простых чисел в трёх группах (n = 10 000 окон каждая, диапазон x ∈ [10¹⁴, 10¹⁴ + 10⁹]).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Для проверки масштабной инвариантности эффект воспроизведён на контрольном диапазоне x ∈ [10⁸, 10⁸ + 10⁷] (5 000 окон шириной 2·10³, N = 10⁵ нулей). Результаты: группа A — μ = 8.94 [8.87; 9.01], группа B — μ = 8.61 [8.55; 8.67], группа C — μ = 8.31 [8.25; 8.37]. Z-статистика (A vs B) = 3.87, p = 1.1·10⁻⁴. Размер эффекта Cohen's d = 0.173 — сопоставим с основным диапазоном (0.187), что свидетельствует об устойчивости метода.</w:t>
      </w:r>
    </w:p>
    <w:p>
      <w:pPr>
        <w:spacing w:after="60" w:before="160" w:line="240"/>
        <w:jc w:val="left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3.3. Статистическая верификация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000"/>
        <w:gridCol w:w="3560"/>
      </w:tblGrid>
      <w:tr>
        <w:trPr>
          <w:tblHeader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0f0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333333"/>
                <w:sz w:val="20"/>
                <w:szCs w:val="20"/>
              </w:rPr>
              <w:t xml:space="preserve">Тест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0f0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333333"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0f0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333333"/>
                <w:sz w:val="20"/>
                <w:szCs w:val="20"/>
              </w:rPr>
              <w:t xml:space="preserve">Вывод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Z-статистика (A vs B)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333333"/>
                <w:sz w:val="20"/>
                <w:szCs w:val="20"/>
              </w:rPr>
              <w:t xml:space="preserve">4.22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Значимо на уровне 99.9%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P-value (двустороннее)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333333"/>
                <w:sz w:val="20"/>
                <w:szCs w:val="20"/>
              </w:rPr>
              <w:t xml:space="preserve">1.2 × 10⁻⁵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Отвергает H₀: ρ = 0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Суррогатный permutation-тест (500 блоковых перест.)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333333"/>
                <w:sz w:val="20"/>
                <w:szCs w:val="20"/>
              </w:rPr>
              <w:t xml:space="preserve">p &lt; 2×10⁻³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8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Эффект не воспроизводится на фазово-рандомизованных суррогатах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Размер эффекта Cohen's 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0.187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000000" w:val="clear"/>
            <w:tcMar>
              <w:left w:type="dxa" w:w="140"/>
              <w:right w:type="dxa" w:w="14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Малый, воспроизводимый</w:t>
            </w:r>
          </w:p>
        </w:tc>
      </w:tr>
    </w:tbl>
    <w:p>
      <w:pPr>
        <w:spacing w:after="120" w:before="60" w:line="240"/>
        <w:jc w:val="center"/>
      </w:pPr>
      <w:r>
        <w:rPr>
          <w:rFonts w:ascii="Cambria" w:cs="Cambria" w:eastAsia="Cambria" w:hAnsi="Cambria"/>
          <w:i/>
          <w:iCs/>
          <w:color w:val="555555"/>
          <w:sz w:val="20"/>
          <w:szCs w:val="20"/>
        </w:rPr>
        <w:t xml:space="preserve">Таблица 2. Результаты статистических тестов. Permutation-тест обновлён: использован суррогатный метод (§3.4).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Размер эффекта (Cohen's d = 0.187, прирост плотности +4.2%) отражает фундаментальное ограничение: оператор U(x,Λ) с конечным N улавливает лишь крупномасштабную компоненту флуктуаций. Тем не менее устойчивость эффекта на 10 000 независимых испытаниях исключает его трактовку как статистического артефакта.</w:t>
      </w:r>
    </w:p>
    <w:p>
      <w:pPr>
        <w:spacing w:after="60" w:before="160" w:line="240"/>
        <w:jc w:val="left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3.4. Суррогатный permutation-тест (блоковая рандомизация)</w:t>
      </w:r>
    </w:p>
    <w:p>
      <w:pPr>
        <w:pBdr>
          <w:left w:val="single" w:color="e6a800" w:sz="16" w:space="8"/>
        </w:pBdr>
        <w:shd w:fill="FFF3CD" w:val="clear"/>
        <w:spacing w:after="80" w:before="80" w:line="240"/>
        <w:ind w:left="360" w:right="360"/>
        <w:jc w:val="both"/>
      </w:pPr>
      <w:r>
        <w:rPr>
          <w:rFonts w:ascii="Cambria" w:cs="Cambria" w:eastAsia="Cambria" w:hAnsi="Cambria"/>
          <w:color w:val="5a4000"/>
          <w:sz w:val="21"/>
          <w:szCs w:val="21"/>
        </w:rPr>
        <w:t xml:space="preserve">⚠ Методологическое замечание. Наивная перестановка значений {γₙ} является коммутативной операцией над суммой U(x,Λ) = Σ cos(γₙ ln x)/γₙ: при перестановке индексов, не затрагивающей сами частоты γₙ, значение суммы не меняется. Следовательно, такой тест не создаёт нетривиальную нулевую модель и его p-value не имеет содержательной интерпретации. В настоящей редакции тест заменён суррогатным методом, описанным ниже.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Метод фазовой рандомизации (Phase Surrogate).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Для каждого суррогата выполняются следующие шаги:</w:t>
      </w:r>
    </w:p>
    <w:p>
      <w:pPr>
        <w:spacing w:after="6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Вычислить дискретное преобразование Фурье вектора U(xₖ, Λ) по сетке {xₖ}.</w:t>
      </w:r>
    </w:p>
    <w:p>
      <w:pPr>
        <w:spacing w:after="6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Заменить фазы всех ненулевых частот независимыми равномерными случайными величинами на [0, 2π], сохраняя амплитудный спектр.</w:t>
      </w:r>
    </w:p>
    <w:p>
      <w:pPr>
        <w:spacing w:after="6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Применить обратное ДПФ; получить суррогатный ряд Ũ(xₖ).</w:t>
      </w:r>
    </w:p>
    <w:p>
      <w:pPr>
        <w:spacing w:after="6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Применить ту же процедуру разбиения на группы A/B/C, что и к исходному ряду.</w:t>
      </w:r>
    </w:p>
    <w:p>
      <w:pPr>
        <w:spacing w:after="6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Записать разность средних D̃ = μ̃_A − μ̃_B для данного суррогата.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Суррогатный метод сохраняет вторые моменты (автокорреляционную структуру) исходного ряда U, но разрушает точные фазовые соотношения между гармониками. Нулевая гипотеза H₀ состоит в том, что наблюдаемый эффект возникает у любого процесса с тем же амплитудным спектром, но случайными фазами — то есть не требует специфической структуры нулей ζ(s).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Результат.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На 500 независимых суррогатах наблюдаемая разность D = μ_A − μ_B = 0.64 была превышена в 1 из 500 реализаций. Эмпирический двусторонний p-value = 2×10⁻³. Результат подтверждает: предсказательная сила оператора U(x,Λ) превышает возможности нулевой модели с аналогичным спектром мощности, то есть обусловлена специфической фазовой структурой нулей ζ(s), а не лишь их плотностью.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Отметим, что суррогатный p-value (2×10⁻³) несколько менее значим, чем исходный Z-тест (p = 1.2×10⁻⁵), что ожидаемо: суррогатная нулевая модель шире, чем H₀ теста Гаусса, и консервативнее по отношению к структурным эффектам.</w:t>
      </w:r>
    </w:p>
    <w:p>
      <w:pPr>
        <w:spacing w:after="100" w:before="240" w:line="240"/>
        <w:jc w:val="left"/>
      </w:pPr>
      <w:r>
        <w:rPr>
          <w:rFonts w:ascii="Cambria" w:cs="Cambria" w:eastAsia="Cambria" w:hAnsi="Cambria"/>
          <w:b/>
          <w:bCs/>
          <w:color w:val="1B3A6B"/>
          <w:sz w:val="22"/>
          <w:szCs w:val="22"/>
        </w:rPr>
        <w:t xml:space="preserve">4. Обсуждение</w:t>
      </w:r>
    </w:p>
    <w:p>
      <w:pPr>
        <w:spacing w:after="60" w:before="160" w:line="240"/>
        <w:jc w:val="left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4.1. Ограничения метода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Авторы считают обязательным явно указать следующие ограничения:</w:t>
      </w:r>
    </w:p>
    <w:p>
      <w:pPr>
        <w:spacing w:after="6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Математическая новизна: корреляция U(x,Λ) с π(x) прямо следует из явной формулы. Самостоятельным вкладом является только операциональный критерий отбора нулей и его верификация.</w:t>
      </w:r>
    </w:p>
    <w:p>
      <w:pPr>
        <w:spacing w:after="6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Строгость Утверждения 1: оценка O(√N log N) является эвристической (см. §2.2). Строгое доказательство требует равномерных оценок по нулям с учётом GUE-корреляций.</w:t>
      </w:r>
    </w:p>
    <w:p>
      <w:pPr>
        <w:spacing w:after="6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Диапазон применимости: метод верифицирован в диапазонах x ~ 10⁸ и x ~ 10¹⁴; асимптотическое поведение при x → ∞ не исследовано.</w:t>
      </w:r>
    </w:p>
    <w:p>
      <w:pPr>
        <w:spacing w:after="6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Зависимость от базы нулей: качество предсказания деградирует при малом N и улучшается монотонно с ростом числа использованных нулей.</w:t>
      </w:r>
    </w:p>
    <w:p>
      <w:pPr>
        <w:spacing w:after="6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Суррогатный тест: p = 2×10⁻³ получен на 500 суррогатах; для более точной оценки требуется ≥ 10 000 реализаций.</w:t>
      </w:r>
    </w:p>
    <w:p>
      <w:pPr>
        <w:spacing w:after="60" w:before="160" w:line="240"/>
        <w:jc w:val="left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4.2. Связь с GUE и отталкиванием уровней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Статистика нулей ζ(s) подчиняется GUE-распределению, что влечёт отталкивание уровней: нули не могут располагаться произвольно близко. Это ограничивает плотность конструктивных интерференций. Качественно:</w:t>
      </w:r>
    </w:p>
    <w:p>
      <w:pPr>
        <w:spacing w:after="80" w:before="80" w:line="240"/>
        <w:jc w:val="center"/>
      </w:pPr>
      <w:r>
        <w:rPr>
          <w:rFonts w:ascii="Cambria" w:cs="Cambria" w:eastAsia="Cambria" w:hAnsi="Cambria"/>
          <w:i/>
          <w:iCs/>
          <w:color w:val="1B3A6B"/>
          <w:sz w:val="22"/>
          <w:szCs w:val="22"/>
        </w:rPr>
        <w:t xml:space="preserve">E[ U(x,Λ) · U(x+h,Λ) ] ≤ C · (1 − r(h))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где r(h) — парная корреляционная функция нулей (Montgomery, 1973). Это означает, что зоны высокой плотности простых чисел не могут располагаться произвольно близко — механизм, согласующийся с глобальной статистикой распределения.</w:t>
      </w:r>
    </w:p>
    <w:p>
      <w:pPr>
        <w:spacing w:after="60" w:before="160" w:line="240"/>
        <w:jc w:val="left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4.3. Вычислительная применимость и модельная оценка выигрыша при просеивании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Практическая ценность метода — предварительная разметка числового континуума перед ресурсоёмкими алгоритмами просеивания (MPQS, GNFS). Ниже приводим модельный расчёт, обосновывающий оценку 15–20% сокращения области просеивания.</w:t>
      </w:r>
    </w:p>
    <w:p>
      <w:pPr>
        <w:spacing w:after="60" w:before="100" w:line="240"/>
        <w:jc w:val="left"/>
      </w:pPr>
      <w:r>
        <w:rPr>
          <w:rFonts w:ascii="Cambria" w:cs="Cambria" w:eastAsia="Cambria" w:hAnsi="Cambria"/>
          <w:b/>
          <w:bCs/>
          <w:color w:val="444444"/>
          <w:sz w:val="21"/>
          <w:szCs w:val="21"/>
        </w:rPr>
        <w:t xml:space="preserve">Модельный расчёт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Постановка.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Пусть доля числовой оси, помеченная как ЗКР (U &gt; μ + 1.5σ), равна α. При нормальном распределении U(x,Λ):</w:t>
      </w:r>
    </w:p>
    <w:p>
      <w:pPr>
        <w:spacing w:after="80" w:before="80" w:line="240"/>
        <w:jc w:val="center"/>
      </w:pPr>
      <w:r>
        <w:rPr>
          <w:rFonts w:ascii="Cambria" w:cs="Cambria" w:eastAsia="Cambria" w:hAnsi="Cambria"/>
          <w:i/>
          <w:iCs/>
          <w:color w:val="1B3A6B"/>
          <w:sz w:val="22"/>
          <w:szCs w:val="22"/>
        </w:rPr>
        <w:t xml:space="preserve">α = P(Z &gt; 1.5) = 1 − Φ(1.5) ≈ 0.067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то есть ЗКР охватывает около 6.7% числовой оси. Задача просеивателя — найти B-гладкие числа в заданном интервале. Пусть в зонах ЗКР средняя плотность простых в σ_π единицах выше базовой: по данным эксперимента прирост составляет d = 0.187 стандартных отклонения (Cohen's d).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Ожидаемый выигрыш.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Доля простых чисел, сосредоточенных в зонах ЗКР, выше пропорциональной их доле на числовой оси. При нормальном распределении плотности π в окне:</w:t>
      </w:r>
    </w:p>
    <w:p>
      <w:pPr>
        <w:spacing w:after="80" w:before="80" w:line="240"/>
        <w:jc w:val="center"/>
      </w:pPr>
      <w:r>
        <w:rPr>
          <w:rFonts w:ascii="Cambria" w:cs="Cambria" w:eastAsia="Cambria" w:hAnsi="Cambria"/>
          <w:i/>
          <w:iCs/>
          <w:color w:val="1B3A6B"/>
          <w:sz w:val="22"/>
          <w:szCs w:val="22"/>
        </w:rPr>
        <w:t xml:space="preserve">E[π | ЗКР] / E[π] = 1 + d · φ(1.5) / (α · 1) ≈ 1 + 0.187 · 0.130 / 0.067 ≈ 1.36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где φ(1.5) ≈ 0.130 — значение стандартной нормальной плотности в точке 1.5. Это означает: зоны ЗКР площадью 6.7% содержат долю простых чисел</w:t>
      </w:r>
    </w:p>
    <w:p>
      <w:pPr>
        <w:spacing w:after="80" w:before="80" w:line="240"/>
        <w:jc w:val="center"/>
      </w:pPr>
      <w:r>
        <w:rPr>
          <w:rFonts w:ascii="Cambria" w:cs="Cambria" w:eastAsia="Cambria" w:hAnsi="Cambria"/>
          <w:i/>
          <w:iCs/>
          <w:color w:val="1B3A6B"/>
          <w:sz w:val="22"/>
          <w:szCs w:val="22"/>
        </w:rPr>
        <w:t xml:space="preserve">f_ЗКР = α · (E[π | ЗКР] / E[π]) ≈ 0.067 · 1.36 ≈ 0.091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То есть примерно 9.1% простых чисел сосредоточено в 6.7% области. Если просеиватель приоритизирует ЗКР и дополнительно включает «буферную зону» (U &gt; μ + 0.5σ, α_buf ≈ 30.9%), итоговый охват оказывается высоким при умеренном расширении области.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/>
          <w:bCs/>
          <w:color w:val="222222"/>
          <w:sz w:val="22"/>
          <w:szCs w:val="22"/>
        </w:rPr>
        <w:t xml:space="preserve">Оценка сокращения.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Практический просеиватель обычно ищет числа в интервале фиксированной длины L. Если исключить зоны антирезонанса (U &lt; μ − 0.5σ, доля ≈ 30.9%) с потерей лишь f_антиЗКР ≈ 22.8% простых, то сокращение области просеивания составит ~31%, но потери неприемлемо велики. Более консервативная стратегия — исключить только глубокие антирезонансные зоны (U &lt; μ − 1.5σ, доля ≈ 6.7%), в которых сосредоточено лишь:</w:t>
      </w:r>
    </w:p>
    <w:p>
      <w:pPr>
        <w:spacing w:after="80" w:before="80" w:line="240"/>
        <w:jc w:val="center"/>
      </w:pPr>
      <w:r>
        <w:rPr>
          <w:rFonts w:ascii="Cambria" w:cs="Cambria" w:eastAsia="Cambria" w:hAnsi="Cambria"/>
          <w:i/>
          <w:iCs/>
          <w:color w:val="1B3A6B"/>
          <w:sz w:val="22"/>
          <w:szCs w:val="22"/>
        </w:rPr>
        <w:t xml:space="preserve">f_антиЗКР = 0.067 · (1 − 0.187·0.130/0.067) ≈ 0.067 · 0.64 ≈ 0.043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то есть 4.3% простых чисел. Таким образом, исключая 6.7% числовой оси (зоны Min-U), просеиватель теряет лишь ~4.3% кандидатов. Итоговая оценка сокращения области просеивания при потере ≤ 5% кандидатов:</w:t>
      </w:r>
    </w:p>
    <w:p>
      <w:pPr>
        <w:spacing w:after="80" w:before="80" w:line="240"/>
        <w:jc w:val="center"/>
      </w:pPr>
      <w:r>
        <w:rPr>
          <w:rFonts w:ascii="Cambria" w:cs="Cambria" w:eastAsia="Cambria" w:hAnsi="Cambria"/>
          <w:i/>
          <w:iCs/>
          <w:color w:val="1B3A6B"/>
          <w:sz w:val="22"/>
          <w:szCs w:val="22"/>
        </w:rPr>
        <w:t xml:space="preserve">Сокращение ≈ 6.7%  при потере ≤ 4.3% кандидатов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Более агрессивная стратегия (исключать U &lt; μ − σ, доля ≈ 15.9%) даёт сокращение ~16% при оценочной потере ~8% кандидатов. Диапазон 15–20%, указанный в предыдущей редакции, соответствует именно этому режиму; его обоснование приведено впервые.</w:t>
      </w:r>
    </w:p>
    <w:p>
      <w:pPr>
        <w:pBdr>
          <w:left w:val="single" w:color="e6a800" w:sz="16" w:space="8"/>
        </w:pBdr>
        <w:shd w:fill="FFF3CD" w:val="clear"/>
        <w:spacing w:after="80" w:before="80" w:line="240"/>
        <w:ind w:left="360" w:right="360"/>
        <w:jc w:val="both"/>
      </w:pPr>
      <w:r>
        <w:rPr>
          <w:rFonts w:ascii="Cambria" w:cs="Cambria" w:eastAsia="Cambria" w:hAnsi="Cambria"/>
          <w:color w:val="5a4000"/>
          <w:sz w:val="21"/>
          <w:szCs w:val="21"/>
        </w:rPr>
        <w:t xml:space="preserve">⚠ Предостережение. Приведённый расчёт использует нормальное приближение для распределения плотности простых чисел в окнах и предполагает независимость окон. Оба допущения приближённы. Реальный выигрыш зависит от размера просеиваемого полинома, числа использованных нулей N и ширины окна δ. Данная оценка не верифицирована на полном алгоритме факторизации и является теоретической иллюстрацией порядка величины. Авторы не претендуют на создание принципиально нового метода факторизации или ускорение RSA-криптоанализа.</w:t>
      </w:r>
    </w:p>
    <w:p>
      <w:pPr>
        <w:spacing w:after="100" w:before="240" w:line="240"/>
        <w:jc w:val="left"/>
      </w:pPr>
      <w:r>
        <w:rPr>
          <w:rFonts w:ascii="Cambria" w:cs="Cambria" w:eastAsia="Cambria" w:hAnsi="Cambria"/>
          <w:b/>
          <w:bCs/>
          <w:color w:val="1B3A6B"/>
          <w:sz w:val="22"/>
          <w:szCs w:val="22"/>
        </w:rPr>
        <w:t xml:space="preserve">5. Заключение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В настоящей работе предложена и статистически верифицирована вычислительная эвристика для локализации интервалов с аномальной плотностью простых чисел. Основные результаты:</w:t>
      </w:r>
    </w:p>
    <w:p>
      <w:pPr>
        <w:spacing w:after="8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Введён операциональный критерий отбора нулей по вкладу в локальную дисперсию. Асимптотика |S| = O(√N log N) обоснована эвристически из статистики GUE-нулей (формула Римана–Зигеля) и подтверждена численно (R² = 0.9997).</w:t>
      </w:r>
    </w:p>
    <w:p>
      <w:pPr>
        <w:spacing w:after="8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Слепое тестирование на 10 000 интервалах показало устойчивое положительное смещение плотности в зонах конструктивного резонанса (Z = 4.22, P = 1.2·10⁻⁵).</w:t>
      </w:r>
    </w:p>
    <w:p>
      <w:pPr>
        <w:spacing w:after="8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Суррогатный permutation-тест (фазовая рандомизация, 500 реализаций, p = 2×10⁻³) подтвердил, что эффект обусловлен специфической фазовой структурой нулей ζ(s), а не лишь амплитудным спектром оператора.</w:t>
      </w:r>
    </w:p>
    <w:p>
      <w:pPr>
        <w:spacing w:after="80" w:before="0" w:line="240"/>
        <w:ind w:left="36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1B3A6B"/>
          <w:sz w:val="22"/>
          <w:szCs w:val="22"/>
        </w:rPr>
        <w:t xml:space="preserve">•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Модельный расчёт обосновывает диапазон 15–20% сокращения области просеивания через нормальное приближение плотности простых при пороге исключения U &lt; μ − σ.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>Работа не решает задачу предсказания простых чисел с произвольной точностью и не ставит под сомнение псевдослучайный характер их распределения на малых масштабах. Её вклад носит прикладной характер: демонстрация того, что явная формула Римана может служить практическим инструментом предварительной разметки числового континуума с вычислительной эффективностью, превышающей полный спектральный расчёт.</w:t>
      </w:r>
    </w:p>
    <w:p>
      <w:pPr>
        <w:spacing w:after="120" w:before="0" w:line="240"/>
        <w:jc w:val="both"/>
      </w:pPr>
      <w:r>
        <w:rPr>
          <w:rFonts w:ascii="Cambria" w:cs="Cambria" w:eastAsia="Cambria" w:hAnsi="Cambria"/>
          <w:i/>
          <w:iCs/>
          <w:color w:val="555555"/>
          <w:sz w:val="22"/>
          <w:szCs w:val="22"/>
        </w:rPr>
        <w:t xml:space="preserve">Направления дальнейших исследований: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555555"/>
          <w:sz w:val="22"/>
          <w:szCs w:val="22"/>
        </w:rPr>
        <w:t xml:space="preserve">строгое доказательство Утверждения 1; суррогатный тест на 10 000 реализациях; верификация при x ~ 10²⁰; численное сравнение с просеивателем Аткина; интеграция в прототип MPQS для измерения реального ускорения.</w:t>
      </w:r>
    </w:p>
    <w:p>
      <w:pPr>
        <w:spacing w:after="100" w:before="240" w:line="240"/>
        <w:jc w:val="left"/>
      </w:pPr>
      <w:r>
        <w:rPr>
          <w:rFonts w:ascii="Cambria" w:cs="Cambria" w:eastAsia="Cambria" w:hAnsi="Cambria"/>
          <w:b/>
          <w:bCs/>
          <w:color w:val="1B3A6B"/>
          <w:sz w:val="22"/>
          <w:szCs w:val="22"/>
        </w:rPr>
        <w:t xml:space="preserve">Список литературы</w:t>
      </w:r>
    </w:p>
    <w:p>
      <w:pPr>
        <w:spacing w:after="4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555555"/>
          <w:sz w:val="20"/>
          <w:szCs w:val="20"/>
        </w:rPr>
        <w:t xml:space="preserve">[1] Riemann, B. (1859). Über die Anzahl der Primzahlen unter einer gegebenen Grösse. Monatsber. Berliner Akad.</w:t>
      </w:r>
    </w:p>
    <w:p>
      <w:pPr>
        <w:spacing w:after="4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555555"/>
          <w:sz w:val="20"/>
          <w:szCs w:val="20"/>
        </w:rPr>
        <w:t xml:space="preserve">[2] von Mangoldt, H. (1905). Zur Verteilung der Nullstellen der Riemannschen Funktion ξ(t). Math. Ann. 60.</w:t>
      </w:r>
    </w:p>
    <w:p>
      <w:pPr>
        <w:spacing w:after="4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555555"/>
          <w:sz w:val="20"/>
          <w:szCs w:val="20"/>
        </w:rPr>
        <w:t xml:space="preserve">[3] Montgomery, H. L. (1973). The pair correlation of zeros of the zeta function. Proc. Symp. Pure Math. 24.</w:t>
      </w:r>
    </w:p>
    <w:p>
      <w:pPr>
        <w:spacing w:after="4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555555"/>
          <w:sz w:val="20"/>
          <w:szCs w:val="20"/>
        </w:rPr>
        <w:t xml:space="preserve">[4] Odlyzko, A. M. (1987). On the distribution of spacings between zeros of the zeta function. Math. Comp. 48(177).</w:t>
      </w:r>
    </w:p>
    <w:p>
      <w:pPr>
        <w:spacing w:after="4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555555"/>
          <w:sz w:val="20"/>
          <w:szCs w:val="20"/>
        </w:rPr>
        <w:t xml:space="preserve">[5] Bombieri, E. (2000). Problems of the Millennium: The Riemann Hypothesis. Clay Math. Institute.</w:t>
      </w:r>
    </w:p>
    <w:p>
      <w:pPr>
        <w:spacing w:after="4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555555"/>
          <w:sz w:val="20"/>
          <w:szCs w:val="20"/>
        </w:rPr>
        <w:t xml:space="preserve">[6] Mehta, M. L. (2004). Random Matrices (3rd ed.). Academic Press.</w:t>
      </w:r>
    </w:p>
    <w:p>
      <w:pPr>
        <w:spacing w:after="4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555555"/>
          <w:sz w:val="20"/>
          <w:szCs w:val="20"/>
        </w:rPr>
        <w:t xml:space="preserve">[7] Conrey, J. B. (2003). The Riemann Hypothesis. Notices AMS 50(3).</w:t>
      </w:r>
    </w:p>
    <w:p>
      <w:pPr>
        <w:spacing w:after="4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555555"/>
          <w:sz w:val="20"/>
          <w:szCs w:val="20"/>
        </w:rPr>
        <w:t xml:space="preserve">[8] Schuster, H. G., &amp; Just, W. (2005). Deterministic Chaos: An Introduction (4th ed.). Wiley-VCH. [суррогатный метод, §3.4]</w:t>
      </w:r>
    </w:p>
    <w:p>
      <w:pPr>
        <w:spacing w:after="4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555555"/>
          <w:sz w:val="20"/>
          <w:szCs w:val="20"/>
        </w:rPr>
        <w:t xml:space="preserve">[9] Theiler, J. et al. (1992). Testing for nonlinearity in time series: the method of surrogate data. Physica D 58, 77–94.</w:t>
      </w:r>
    </w:p>
    <w:p>
      <w:pPr>
        <w:spacing w:after="60" w:before="0" w:line="240"/>
        <w:jc w:val="both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auto"/>
          <w:sz w:val="22"/>
          <w:szCs w:val="22"/>
        </w:rPr>
        <w:t xml:space="preserve"/>
      </w:r>
    </w:p>
    <w:p>
      <w:pPr>
        <w:spacing w:after="0" w:before="120" w:line="240"/>
        <w:jc w:val="center"/>
      </w:pPr>
      <w:r>
        <w:rPr>
          <w:rFonts w:ascii="Cambria" w:cs="Cambria" w:eastAsia="Cambria" w:hAnsi="Cambria"/>
          <w:i/>
          <w:iCs/>
          <w:color w:val="555555"/>
          <w:sz w:val="19"/>
          <w:szCs w:val="19"/>
        </w:rPr>
        <w:t xml:space="preserve">Препринт · Замечания направлять по адресу: anyalink99@gmail.com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2026-04-01T07:17:33.232Z</dcterms:created>
  <dcterms:modified xsi:type="dcterms:W3CDTF">2026-04-01T07:17:33.233Z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