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ЖУРНАЛ</w:t>
        <w:br/>
        <w:t>учёта обращений субъектов персональных данных</w:t>
      </w:r>
    </w:p>
    <w:p>
      <w:pPr>
        <w:jc w:val="right"/>
      </w:pPr>
      <w:r>
        <w:rPr>
          <w:lang w:val="ru-RU" w:eastAsia="ru-RU" w:bidi="ru-RU"/>
        </w:rPr>
        <w:t>Оператор: Малюточкина Анна Владимировна, ИНН 730292199734</w:t>
        <w:br/>
        <w:t>Журнал заведён: 01 мая 2026 г.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В настоящем Журнале фиксируются обращения субъектов ПД, поступившие Оператору в порядке гл. 3 ФЗ-152 (запросы об обработке, требования об уточнении/блокировании/уничтожении, отзывы согласия), а также ответы Оператора на них. Срок ответа — не более 30 календарных дней с даты получения обращения.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№</w:t>
            </w:r>
          </w:p>
        </w:tc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Дата получения</w:t>
            </w:r>
          </w:p>
        </w:tc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ФИО / контакт субъекта</w:t>
            </w:r>
          </w:p>
        </w:tc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Содержание обращения</w:t>
            </w:r>
          </w:p>
        </w:tc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Дата ответа</w:t>
            </w:r>
          </w:p>
        </w:tc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Принятое решение / действия</w:t>
            </w:r>
          </w:p>
        </w:tc>
        <w:tc>
          <w:tcPr>
            <w:tcW w:type="dxa" w:w="1425"/>
          </w:tcPr>
          <w:p>
            <w:r/>
            <w:r>
              <w:rPr>
                <w:b/>
                <w:lang w:val="ru-RU" w:eastAsia="ru-RU" w:bidi="ru-RU"/>
              </w:rPr>
              <w:t>Подпись Оператора</w:t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425"/>
          </w:tcPr>
          <w:p>
            <w:r/>
            <w:r>
              <w:rPr>
                <w:lang w:val="ru-RU" w:eastAsia="ru-RU" w:bidi="ru-RU"/>
              </w:rPr>
            </w:r>
          </w:p>
        </w:tc>
      </w:tr>
    </w:tbl>
    <w:p>
      <w:pPr>
        <w:ind w:firstLine="709"/>
      </w:pPr>
      <w:r>
        <w:rPr>
          <w:b w:val="0"/>
          <w:i/>
          <w:lang w:val="ru-RU" w:eastAsia="ru-RU" w:bidi="ru-RU"/>
        </w:rPr>
        <w:t>Журнал ведётся в электронной форме и распечатывается по мере заполнения. Срок хранения — не менее 5 лет.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