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lang w:val="ru-RU" w:eastAsia="ru-RU" w:bidi="ru-RU"/>
        </w:rPr>
        <w:t>ЖУРНАЛ</w:t>
        <w:br/>
        <w:t>учёта обращений субъектов персональных данных</w:t>
      </w:r>
    </w:p>
    <w:p>
      <w:pPr>
        <w:jc w:val="right"/>
      </w:pPr>
      <w:r>
        <w:rPr>
          <w:lang w:val="ru-RU" w:eastAsia="ru-RU" w:bidi="ru-RU"/>
        </w:rPr>
        <w:t>Оператор: Малюточкина Анна Владимировна, ИНН 730292199734</w:t>
        <w:br/>
        <w:t>Журнал заведён: 01 мая 2026 г.</w:t>
      </w:r>
    </w:p>
    <w:p>
      <w:pPr>
        <w:ind w:firstLine="709"/>
      </w:pPr>
      <w:r>
        <w:rPr>
          <w:b w:val="0"/>
          <w:i w:val="0"/>
          <w:lang w:val="ru-RU" w:eastAsia="ru-RU" w:bidi="ru-RU"/>
        </w:rPr>
        <w:t>В настоящем Журнале фиксируются обращения субъектов ПД, поступившие Оператору в порядке гл. 3 ФЗ-152 (запросы об обработке, требования об уточнении/блокировании/уничтожении, отзывы согласия), а также ответы Оператора на них. Срок ответа — не более 30 календарных дней с даты получения обращения.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/>
            <w:r>
              <w:rPr>
                <w:b/>
                <w:lang w:val="ru-RU" w:eastAsia="ru-RU" w:bidi="ru-RU"/>
              </w:rPr>
              <w:t>№</w:t>
            </w:r>
          </w:p>
        </w:tc>
        <w:tc>
          <w:tcPr>
            <w:tcW w:type="dxa" w:w="1425"/>
          </w:tcPr>
          <w:p>
            <w:r/>
            <w:r>
              <w:rPr>
                <w:b/>
                <w:lang w:val="ru-RU" w:eastAsia="ru-RU" w:bidi="ru-RU"/>
              </w:rPr>
              <w:t>Дата получения</w:t>
            </w:r>
          </w:p>
        </w:tc>
        <w:tc>
          <w:tcPr>
            <w:tcW w:type="dxa" w:w="1425"/>
          </w:tcPr>
          <w:p>
            <w:r/>
            <w:r>
              <w:rPr>
                <w:b/>
                <w:lang w:val="ru-RU" w:eastAsia="ru-RU" w:bidi="ru-RU"/>
              </w:rPr>
              <w:t>ФИО / контакт субъекта</w:t>
            </w:r>
          </w:p>
        </w:tc>
        <w:tc>
          <w:tcPr>
            <w:tcW w:type="dxa" w:w="1425"/>
          </w:tcPr>
          <w:p>
            <w:r/>
            <w:r>
              <w:rPr>
                <w:b/>
                <w:lang w:val="ru-RU" w:eastAsia="ru-RU" w:bidi="ru-RU"/>
              </w:rPr>
              <w:t>Содержание обращения</w:t>
            </w:r>
          </w:p>
        </w:tc>
        <w:tc>
          <w:tcPr>
            <w:tcW w:type="dxa" w:w="1425"/>
          </w:tcPr>
          <w:p>
            <w:r/>
            <w:r>
              <w:rPr>
                <w:b/>
                <w:lang w:val="ru-RU" w:eastAsia="ru-RU" w:bidi="ru-RU"/>
              </w:rPr>
              <w:t>Дата ответа</w:t>
            </w:r>
          </w:p>
        </w:tc>
        <w:tc>
          <w:tcPr>
            <w:tcW w:type="dxa" w:w="1425"/>
          </w:tcPr>
          <w:p>
            <w:r/>
            <w:r>
              <w:rPr>
                <w:b/>
                <w:lang w:val="ru-RU" w:eastAsia="ru-RU" w:bidi="ru-RU"/>
              </w:rPr>
              <w:t>Принятое решение / действия</w:t>
            </w:r>
          </w:p>
        </w:tc>
        <w:tc>
          <w:tcPr>
            <w:tcW w:type="dxa" w:w="1425"/>
          </w:tcPr>
          <w:p>
            <w:r/>
            <w:r>
              <w:rPr>
                <w:b/>
                <w:lang w:val="ru-RU" w:eastAsia="ru-RU" w:bidi="ru-RU"/>
              </w:rPr>
              <w:t>Подпись Оператора</w:t>
            </w:r>
          </w:p>
        </w:tc>
      </w:tr>
      <w:tr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  <w:t>1</w:t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  <w:t>3</w:t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  <w:t>4</w:t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  <w:t>5</w:t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  <w:t>6</w:t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  <w:t>7</w:t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  <w:t>8</w:t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  <w:t>9</w:t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</w:tr>
      <w:tr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  <w:t>10</w:t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  <w:tc>
          <w:tcPr>
            <w:tcW w:type="dxa" w:w="1425"/>
          </w:tcPr>
          <w:p>
            <w:r/>
            <w:r>
              <w:rPr>
                <w:lang w:val="ru-RU" w:eastAsia="ru-RU" w:bidi="ru-RU"/>
              </w:rPr>
            </w:r>
          </w:p>
        </w:tc>
      </w:tr>
    </w:tbl>
    <w:p>
      <w:pPr>
        <w:ind w:firstLine="709"/>
      </w:pPr>
      <w:r>
        <w:rPr>
          <w:b w:val="0"/>
          <w:i/>
          <w:lang w:val="ru-RU" w:eastAsia="ru-RU" w:bidi="ru-RU"/>
        </w:rPr>
        <w:t>Журнал ведётся в электронной форме и распечатывается по мере заполнения. Срок хранения — не менее 5 лет.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