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lang w:val="ru-RU" w:eastAsia="ru-RU" w:bidi="ru-RU"/>
        </w:rPr>
        <w:t>ЧЕКЛИСТ</w:t>
        <w:br/>
        <w:t>подачи уведомления об обработке ПД в Роскомнадзор</w:t>
      </w:r>
    </w:p>
    <w:p>
      <w:pPr>
        <w:jc w:val="right"/>
      </w:pPr>
      <w:r>
        <w:rPr>
          <w:lang w:val="ru-RU" w:eastAsia="ru-RU" w:bidi="ru-RU"/>
        </w:rPr>
        <w:t>Оператор: Малюточкина Анна Владимировна</w:t>
        <w:br/>
        <w:t>ИНН 730292199734</w:t>
        <w:br/>
        <w:t>Подача через: pd.rkn.gov.ru или Госуслуги</w:t>
      </w:r>
    </w:p>
    <w:p>
      <w:pPr>
        <w:pStyle w:val="Heading1"/>
      </w:pPr>
      <w:r>
        <w:rPr>
          <w:lang w:val="ru-RU" w:eastAsia="ru-RU" w:bidi="ru-RU"/>
        </w:rPr>
        <w:t>1. Подготовка ДО подачи уведомления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b/>
                <w:lang w:val="ru-RU" w:eastAsia="ru-RU" w:bidi="ru-RU"/>
              </w:rPr>
              <w:t>№</w:t>
            </w:r>
          </w:p>
        </w:tc>
        <w:tc>
          <w:tcPr>
            <w:tcW w:type="dxa" w:w="3324"/>
          </w:tcPr>
          <w:p>
            <w:r/>
            <w:r>
              <w:rPr>
                <w:b/>
                <w:lang w:val="ru-RU" w:eastAsia="ru-RU" w:bidi="ru-RU"/>
              </w:rPr>
              <w:t>Действие</w:t>
            </w:r>
          </w:p>
        </w:tc>
        <w:tc>
          <w:tcPr>
            <w:tcW w:type="dxa" w:w="3324"/>
          </w:tcPr>
          <w:p>
            <w:r/>
            <w:r>
              <w:rPr>
                <w:b/>
                <w:lang w:val="ru-RU" w:eastAsia="ru-RU" w:bidi="ru-RU"/>
              </w:rPr>
              <w:t>Статус</w:t>
            </w:r>
          </w:p>
        </w:tc>
      </w:tr>
      <w:tr>
        <w:tc>
          <w:tcPr>
            <w:tcW w:type="dxa" w:w="3324"/>
          </w:tcPr>
          <w:p>
            <w:r/>
            <w:r>
              <w:rPr>
                <w:lang w:val="ru-RU" w:eastAsia="ru-RU" w:bidi="ru-RU"/>
              </w:rPr>
              <w:t>1.1</w:t>
            </w:r>
          </w:p>
        </w:tc>
        <w:tc>
          <w:tcPr>
            <w:tcW w:type="dxa" w:w="3324"/>
          </w:tcPr>
          <w:p>
            <w:r/>
            <w:r>
              <w:rPr>
                <w:lang w:val="ru-RU" w:eastAsia="ru-RU" w:bidi="ru-RU"/>
              </w:rPr>
              <w:t>Перенесён учёт клиентов с Google Sheets на Яндекс.Документы</w:t>
            </w:r>
          </w:p>
        </w:tc>
        <w:tc>
          <w:tcPr>
            <w:tcW w:type="dxa" w:w="3324"/>
          </w:tcPr>
          <w:p>
            <w:r/>
            <w:r>
              <w:rPr>
                <w:lang w:val="ru-RU" w:eastAsia="ru-RU" w:bidi="ru-RU"/>
              </w:rPr>
              <w:t>☐</w:t>
            </w:r>
          </w:p>
        </w:tc>
      </w:tr>
      <w:tr>
        <w:tc>
          <w:tcPr>
            <w:tcW w:type="dxa" w:w="3324"/>
          </w:tcPr>
          <w:p>
            <w:r/>
            <w:r>
              <w:rPr>
                <w:lang w:val="ru-RU" w:eastAsia="ru-RU" w:bidi="ru-RU"/>
              </w:rPr>
              <w:t>1.2</w:t>
            </w:r>
          </w:p>
        </w:tc>
        <w:tc>
          <w:tcPr>
            <w:tcW w:type="dxa" w:w="3324"/>
          </w:tcPr>
          <w:p>
            <w:r/>
            <w:r>
              <w:rPr>
                <w:lang w:val="ru-RU" w:eastAsia="ru-RU" w:bidi="ru-RU"/>
              </w:rPr>
              <w:t>Подтверждены договоры поручения от Planerka, Робокассы, Продамуса</w:t>
            </w:r>
          </w:p>
        </w:tc>
        <w:tc>
          <w:tcPr>
            <w:tcW w:type="dxa" w:w="3324"/>
          </w:tcPr>
          <w:p>
            <w:r/>
            <w:r>
              <w:rPr>
                <w:lang w:val="ru-RU" w:eastAsia="ru-RU" w:bidi="ru-RU"/>
              </w:rPr>
              <w:t>☐</w:t>
            </w:r>
          </w:p>
        </w:tc>
      </w:tr>
      <w:tr>
        <w:tc>
          <w:tcPr>
            <w:tcW w:type="dxa" w:w="3324"/>
          </w:tcPr>
          <w:p>
            <w:r/>
            <w:r>
              <w:rPr>
                <w:lang w:val="ru-RU" w:eastAsia="ru-RU" w:bidi="ru-RU"/>
              </w:rPr>
              <w:t>1.3</w:t>
            </w:r>
          </w:p>
        </w:tc>
        <w:tc>
          <w:tcPr>
            <w:tcW w:type="dxa" w:w="3324"/>
          </w:tcPr>
          <w:p>
            <w:r/>
            <w:r>
              <w:rPr>
                <w:lang w:val="ru-RU" w:eastAsia="ru-RU" w:bidi="ru-RU"/>
              </w:rPr>
              <w:t>Из практики исключён Jitsi Meet (заменён на Яндекс.Телемост / VK / MAX)</w:t>
            </w:r>
          </w:p>
        </w:tc>
        <w:tc>
          <w:tcPr>
            <w:tcW w:type="dxa" w:w="3324"/>
          </w:tcPr>
          <w:p>
            <w:r/>
            <w:r>
              <w:rPr>
                <w:lang w:val="ru-RU" w:eastAsia="ru-RU" w:bidi="ru-RU"/>
              </w:rPr>
              <w:t>☐</w:t>
            </w:r>
          </w:p>
        </w:tc>
      </w:tr>
      <w:tr>
        <w:tc>
          <w:tcPr>
            <w:tcW w:type="dxa" w:w="3324"/>
          </w:tcPr>
          <w:p>
            <w:r/>
            <w:r>
              <w:rPr>
                <w:lang w:val="ru-RU" w:eastAsia="ru-RU" w:bidi="ru-RU"/>
              </w:rPr>
              <w:t>1.4</w:t>
            </w:r>
          </w:p>
        </w:tc>
        <w:tc>
          <w:tcPr>
            <w:tcW w:type="dxa" w:w="3324"/>
          </w:tcPr>
          <w:p>
            <w:r/>
            <w:r>
              <w:rPr>
                <w:lang w:val="ru-RU" w:eastAsia="ru-RU" w:bidi="ru-RU"/>
              </w:rPr>
              <w:t>Опубликована Политика обработки ПД на /privacy-policy</w:t>
            </w:r>
          </w:p>
        </w:tc>
        <w:tc>
          <w:tcPr>
            <w:tcW w:type="dxa" w:w="3324"/>
          </w:tcPr>
          <w:p>
            <w:r/>
            <w:r>
              <w:rPr>
                <w:lang w:val="ru-RU" w:eastAsia="ru-RU" w:bidi="ru-RU"/>
              </w:rPr>
              <w:t>☐</w:t>
            </w:r>
          </w:p>
        </w:tc>
      </w:tr>
      <w:tr>
        <w:tc>
          <w:tcPr>
            <w:tcW w:type="dxa" w:w="3324"/>
          </w:tcPr>
          <w:p>
            <w:r/>
            <w:r>
              <w:rPr>
                <w:lang w:val="ru-RU" w:eastAsia="ru-RU" w:bidi="ru-RU"/>
              </w:rPr>
              <w:t>1.5</w:t>
            </w:r>
          </w:p>
        </w:tc>
        <w:tc>
          <w:tcPr>
            <w:tcW w:type="dxa" w:w="3324"/>
          </w:tcPr>
          <w:p>
            <w:r/>
            <w:r>
              <w:rPr>
                <w:lang w:val="ru-RU" w:eastAsia="ru-RU" w:bidi="ru-RU"/>
              </w:rPr>
              <w:t>Опубликовано Согласие на обработку ПД на /agreement-pdn</w:t>
            </w:r>
          </w:p>
        </w:tc>
        <w:tc>
          <w:tcPr>
            <w:tcW w:type="dxa" w:w="3324"/>
          </w:tcPr>
          <w:p>
            <w:r/>
            <w:r>
              <w:rPr>
                <w:lang w:val="ru-RU" w:eastAsia="ru-RU" w:bidi="ru-RU"/>
              </w:rPr>
              <w:t>☐</w:t>
            </w:r>
          </w:p>
        </w:tc>
      </w:tr>
      <w:tr>
        <w:tc>
          <w:tcPr>
            <w:tcW w:type="dxa" w:w="3324"/>
          </w:tcPr>
          <w:p>
            <w:r/>
            <w:r>
              <w:rPr>
                <w:lang w:val="ru-RU" w:eastAsia="ru-RU" w:bidi="ru-RU"/>
              </w:rPr>
              <w:t>1.6</w:t>
            </w:r>
          </w:p>
        </w:tc>
        <w:tc>
          <w:tcPr>
            <w:tcW w:type="dxa" w:w="3324"/>
          </w:tcPr>
          <w:p>
            <w:r/>
            <w:r>
              <w:rPr>
                <w:lang w:val="ru-RU" w:eastAsia="ru-RU" w:bidi="ru-RU"/>
              </w:rPr>
              <w:t>Опубликовано Согласие на обработку специальных категорий ПД на /agreement-health-data</w:t>
            </w:r>
          </w:p>
        </w:tc>
        <w:tc>
          <w:tcPr>
            <w:tcW w:type="dxa" w:w="3324"/>
          </w:tcPr>
          <w:p>
            <w:r/>
            <w:r>
              <w:rPr>
                <w:lang w:val="ru-RU" w:eastAsia="ru-RU" w:bidi="ru-RU"/>
              </w:rPr>
              <w:t>☐</w:t>
            </w:r>
          </w:p>
        </w:tc>
      </w:tr>
      <w:tr>
        <w:tc>
          <w:tcPr>
            <w:tcW w:type="dxa" w:w="3324"/>
          </w:tcPr>
          <w:p>
            <w:r/>
            <w:r>
              <w:rPr>
                <w:lang w:val="ru-RU" w:eastAsia="ru-RU" w:bidi="ru-RU"/>
              </w:rPr>
              <w:t>1.7</w:t>
            </w:r>
          </w:p>
        </w:tc>
        <w:tc>
          <w:tcPr>
            <w:tcW w:type="dxa" w:w="3324"/>
          </w:tcPr>
          <w:p>
            <w:r/>
            <w:r>
              <w:rPr>
                <w:lang w:val="ru-RU" w:eastAsia="ru-RU" w:bidi="ru-RU"/>
              </w:rPr>
              <w:t>В подвале сайта добавлены ссылки на все документы</w:t>
            </w:r>
          </w:p>
        </w:tc>
        <w:tc>
          <w:tcPr>
            <w:tcW w:type="dxa" w:w="3324"/>
          </w:tcPr>
          <w:p>
            <w:r/>
            <w:r>
              <w:rPr>
                <w:lang w:val="ru-RU" w:eastAsia="ru-RU" w:bidi="ru-RU"/>
              </w:rPr>
              <w:t>☐</w:t>
            </w:r>
          </w:p>
        </w:tc>
      </w:tr>
      <w:tr>
        <w:tc>
          <w:tcPr>
            <w:tcW w:type="dxa" w:w="3324"/>
          </w:tcPr>
          <w:p>
            <w:r/>
            <w:r>
              <w:rPr>
                <w:lang w:val="ru-RU" w:eastAsia="ru-RU" w:bidi="ru-RU"/>
              </w:rPr>
              <w:t>1.8</w:t>
            </w:r>
          </w:p>
        </w:tc>
        <w:tc>
          <w:tcPr>
            <w:tcW w:type="dxa" w:w="3324"/>
          </w:tcPr>
          <w:p>
            <w:r/>
            <w:r>
              <w:rPr>
                <w:lang w:val="ru-RU" w:eastAsia="ru-RU" w:bidi="ru-RU"/>
              </w:rPr>
              <w:t>Чек-боксы согласия настроены в виджете Планёрки</w:t>
            </w:r>
          </w:p>
        </w:tc>
        <w:tc>
          <w:tcPr>
            <w:tcW w:type="dxa" w:w="3324"/>
          </w:tcPr>
          <w:p>
            <w:r/>
            <w:r>
              <w:rPr>
                <w:lang w:val="ru-RU" w:eastAsia="ru-RU" w:bidi="ru-RU"/>
              </w:rPr>
              <w:t>☐</w:t>
            </w:r>
          </w:p>
        </w:tc>
      </w:tr>
      <w:tr>
        <w:tc>
          <w:tcPr>
            <w:tcW w:type="dxa" w:w="3324"/>
          </w:tcPr>
          <w:p>
            <w:r/>
            <w:r>
              <w:rPr>
                <w:lang w:val="ru-RU" w:eastAsia="ru-RU" w:bidi="ru-RU"/>
              </w:rPr>
              <w:t>1.9</w:t>
            </w:r>
          </w:p>
        </w:tc>
        <w:tc>
          <w:tcPr>
            <w:tcW w:type="dxa" w:w="3324"/>
          </w:tcPr>
          <w:p>
            <w:r/>
            <w:r>
              <w:rPr>
                <w:lang w:val="ru-RU" w:eastAsia="ru-RU" w:bidi="ru-RU"/>
              </w:rPr>
              <w:t>Подготовлены все внутренние документы (Положение, Приказ, Перечни, Модель угроз, Журналы)</w:t>
            </w:r>
          </w:p>
        </w:tc>
        <w:tc>
          <w:tcPr>
            <w:tcW w:type="dxa" w:w="3324"/>
          </w:tcPr>
          <w:p>
            <w:r/>
            <w:r>
              <w:rPr>
                <w:lang w:val="ru-RU" w:eastAsia="ru-RU" w:bidi="ru-RU"/>
              </w:rPr>
              <w:t>☐</w:t>
            </w:r>
          </w:p>
        </w:tc>
      </w:tr>
      <w:tr>
        <w:tc>
          <w:tcPr>
            <w:tcW w:type="dxa" w:w="3324"/>
          </w:tcPr>
          <w:p>
            <w:r/>
            <w:r>
              <w:rPr>
                <w:lang w:val="ru-RU" w:eastAsia="ru-RU" w:bidi="ru-RU"/>
              </w:rPr>
              <w:t>1.10</w:t>
            </w:r>
          </w:p>
        </w:tc>
        <w:tc>
          <w:tcPr>
            <w:tcW w:type="dxa" w:w="3324"/>
          </w:tcPr>
          <w:p>
            <w:r/>
            <w:r>
              <w:rPr>
                <w:lang w:val="ru-RU" w:eastAsia="ru-RU" w:bidi="ru-RU"/>
              </w:rPr>
              <w:t>Указан адрес фактического хранения бумажных носителей</w:t>
            </w:r>
          </w:p>
        </w:tc>
        <w:tc>
          <w:tcPr>
            <w:tcW w:type="dxa" w:w="3324"/>
          </w:tcPr>
          <w:p>
            <w:r/>
            <w:r>
              <w:rPr>
                <w:lang w:val="ru-RU" w:eastAsia="ru-RU" w:bidi="ru-RU"/>
              </w:rPr>
              <w:t>☐</w:t>
            </w:r>
          </w:p>
        </w:tc>
      </w:tr>
    </w:tbl>
    <w:p>
      <w:pPr>
        <w:pStyle w:val="Heading1"/>
      </w:pPr>
      <w:r>
        <w:rPr>
          <w:lang w:val="ru-RU" w:eastAsia="ru-RU" w:bidi="ru-RU"/>
        </w:rPr>
        <w:t>2. Поля уведомления и формулировки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  <w:lang w:val="ru-RU" w:eastAsia="ru-RU" w:bidi="ru-RU"/>
              </w:rPr>
              <w:t>Поле формы</w:t>
            </w:r>
          </w:p>
        </w:tc>
        <w:tc>
          <w:tcPr>
            <w:tcW w:type="dxa" w:w="4986"/>
          </w:tcPr>
          <w:p>
            <w:r/>
            <w:r>
              <w:rPr>
                <w:b/>
                <w:lang w:val="ru-RU" w:eastAsia="ru-RU" w:bidi="ru-RU"/>
              </w:rPr>
              <w:t>Что вводить</w:t>
            </w:r>
          </w:p>
        </w:tc>
      </w:tr>
      <w:tr>
        <w:tc>
          <w:tcPr>
            <w:tcW w:type="dxa" w:w="4986"/>
          </w:tcPr>
          <w:p>
            <w:r/>
            <w:r>
              <w:rPr>
                <w:lang w:val="ru-RU" w:eastAsia="ru-RU" w:bidi="ru-RU"/>
              </w:rPr>
              <w:t>Полное наименование оператора</w:t>
            </w:r>
          </w:p>
        </w:tc>
        <w:tc>
          <w:tcPr>
            <w:tcW w:type="dxa" w:w="4986"/>
          </w:tcPr>
          <w:p>
            <w:r/>
            <w:r>
              <w:rPr>
                <w:lang w:val="ru-RU" w:eastAsia="ru-RU" w:bidi="ru-RU"/>
              </w:rPr>
              <w:t>Малюточкина Анна Владимировна</w:t>
            </w:r>
          </w:p>
        </w:tc>
      </w:tr>
      <w:tr>
        <w:tc>
          <w:tcPr>
            <w:tcW w:type="dxa" w:w="4986"/>
          </w:tcPr>
          <w:p>
            <w:r/>
            <w:r>
              <w:rPr>
                <w:lang w:val="ru-RU" w:eastAsia="ru-RU" w:bidi="ru-RU"/>
              </w:rPr>
              <w:t>Сокращённое наименование</w:t>
            </w:r>
          </w:p>
        </w:tc>
        <w:tc>
          <w:tcPr>
            <w:tcW w:type="dxa" w:w="4986"/>
          </w:tcPr>
          <w:p>
            <w:r/>
            <w:r>
              <w:rPr>
                <w:lang w:val="ru-RU" w:eastAsia="ru-RU" w:bidi="ru-RU"/>
              </w:rPr>
              <w:t>—</w:t>
            </w:r>
          </w:p>
        </w:tc>
      </w:tr>
      <w:tr>
        <w:tc>
          <w:tcPr>
            <w:tcW w:type="dxa" w:w="4986"/>
          </w:tcPr>
          <w:p>
            <w:r/>
            <w:r>
              <w:rPr>
                <w:lang w:val="ru-RU" w:eastAsia="ru-RU" w:bidi="ru-RU"/>
              </w:rPr>
              <w:t>Тип оператора</w:t>
            </w:r>
          </w:p>
        </w:tc>
        <w:tc>
          <w:tcPr>
            <w:tcW w:type="dxa" w:w="4986"/>
          </w:tcPr>
          <w:p>
            <w:r/>
            <w:r>
              <w:rPr>
                <w:lang w:val="ru-RU" w:eastAsia="ru-RU" w:bidi="ru-RU"/>
              </w:rPr>
              <w:t>Физическое лицо (самозанятый, плательщик НПД)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lang w:val="ru-RU" w:eastAsia="ru-RU" w:bidi="ru-RU"/>
              </w:rPr>
              <w:t>ИНН</w:t>
            </w:r>
          </w:p>
        </w:tc>
        <w:tc>
          <w:tcPr>
            <w:tcW w:type="dxa" w:w="4986"/>
          </w:tcPr>
          <w:p>
            <w:r/>
            <w:r>
              <w:rPr>
                <w:lang w:val="ru-RU" w:eastAsia="ru-RU" w:bidi="ru-RU"/>
              </w:rPr>
              <w:t>730292199734</w:t>
            </w:r>
          </w:p>
        </w:tc>
      </w:tr>
      <w:tr>
        <w:tc>
          <w:tcPr>
            <w:tcW w:type="dxa" w:w="4986"/>
          </w:tcPr>
          <w:p>
            <w:r/>
            <w:r>
              <w:rPr>
                <w:lang w:val="ru-RU" w:eastAsia="ru-RU" w:bidi="ru-RU"/>
              </w:rPr>
              <w:t>ОГРНИП</w:t>
            </w:r>
          </w:p>
        </w:tc>
        <w:tc>
          <w:tcPr>
            <w:tcW w:type="dxa" w:w="4986"/>
          </w:tcPr>
          <w:p>
            <w:r/>
            <w:r>
              <w:rPr>
                <w:lang w:val="ru-RU" w:eastAsia="ru-RU" w:bidi="ru-RU"/>
              </w:rPr>
              <w:t>—</w:t>
            </w:r>
          </w:p>
        </w:tc>
      </w:tr>
      <w:tr>
        <w:tc>
          <w:tcPr>
            <w:tcW w:type="dxa" w:w="4986"/>
          </w:tcPr>
          <w:p>
            <w:r/>
            <w:r>
              <w:rPr>
                <w:lang w:val="ru-RU" w:eastAsia="ru-RU" w:bidi="ru-RU"/>
              </w:rPr>
              <w:t>Адрес местонахождения</w:t>
            </w:r>
          </w:p>
        </w:tc>
        <w:tc>
          <w:tcPr>
            <w:tcW w:type="dxa" w:w="4986"/>
          </w:tcPr>
          <w:p>
            <w:r/>
            <w:r>
              <w:rPr>
                <w:lang w:val="ru-RU" w:eastAsia="ru-RU" w:bidi="ru-RU"/>
              </w:rPr>
              <w:t>433502, Ульяновская область, г. Димитровград, ул. 50 лет Октября, д. 82, кв. 7</w:t>
            </w:r>
          </w:p>
        </w:tc>
      </w:tr>
      <w:tr>
        <w:tc>
          <w:tcPr>
            <w:tcW w:type="dxa" w:w="4986"/>
          </w:tcPr>
          <w:p>
            <w:r/>
            <w:r>
              <w:rPr>
                <w:lang w:val="ru-RU" w:eastAsia="ru-RU" w:bidi="ru-RU"/>
              </w:rPr>
              <w:t>Адрес фактической обработки ПД</w:t>
            </w:r>
          </w:p>
        </w:tc>
        <w:tc>
          <w:tcPr>
            <w:tcW w:type="dxa" w:w="4986"/>
          </w:tcPr>
          <w:p>
            <w:r/>
            <w:r>
              <w:rPr>
                <w:lang w:val="ru-RU" w:eastAsia="ru-RU" w:bidi="ru-RU"/>
              </w:rPr>
              <w:t>433502, Ульяновская область, г. Димитровград, ул. 50 лет Октября, д. 82, кв. 7</w:t>
            </w:r>
          </w:p>
        </w:tc>
      </w:tr>
      <w:tr>
        <w:tc>
          <w:tcPr>
            <w:tcW w:type="dxa" w:w="4986"/>
          </w:tcPr>
          <w:p>
            <w:r/>
            <w:r>
              <w:rPr>
                <w:lang w:val="ru-RU" w:eastAsia="ru-RU" w:bidi="ru-RU"/>
              </w:rPr>
              <w:t>Контактный телефон</w:t>
            </w:r>
          </w:p>
        </w:tc>
        <w:tc>
          <w:tcPr>
            <w:tcW w:type="dxa" w:w="4986"/>
          </w:tcPr>
          <w:p>
            <w:r/>
            <w:r>
              <w:rPr>
                <w:lang w:val="ru-RU" w:eastAsia="ru-RU" w:bidi="ru-RU"/>
              </w:rPr>
              <w:t>+7 (968) 947-73-74</w:t>
            </w:r>
          </w:p>
        </w:tc>
      </w:tr>
      <w:tr>
        <w:tc>
          <w:tcPr>
            <w:tcW w:type="dxa" w:w="4986"/>
          </w:tcPr>
          <w:p>
            <w:r/>
            <w:r>
              <w:rPr>
                <w:lang w:val="ru-RU" w:eastAsia="ru-RU" w:bidi="ru-RU"/>
              </w:rPr>
              <w:t>E-mail</w:t>
            </w:r>
          </w:p>
        </w:tc>
        <w:tc>
          <w:tcPr>
            <w:tcW w:type="dxa" w:w="4986"/>
          </w:tcPr>
          <w:p>
            <w:r/>
            <w:r>
              <w:rPr>
                <w:lang w:val="ru-RU" w:eastAsia="ru-RU" w:bidi="ru-RU"/>
              </w:rPr>
              <w:t>psy@anyamalets.ru</w:t>
            </w:r>
          </w:p>
        </w:tc>
      </w:tr>
      <w:tr>
        <w:tc>
          <w:tcPr>
            <w:tcW w:type="dxa" w:w="4986"/>
          </w:tcPr>
          <w:p>
            <w:r/>
            <w:r>
              <w:rPr>
                <w:lang w:val="ru-RU" w:eastAsia="ru-RU" w:bidi="ru-RU"/>
              </w:rPr>
              <w:t>ФИО ответственного за обработку ПД</w:t>
            </w:r>
          </w:p>
        </w:tc>
        <w:tc>
          <w:tcPr>
            <w:tcW w:type="dxa" w:w="4986"/>
          </w:tcPr>
          <w:p>
            <w:r/>
            <w:r>
              <w:rPr>
                <w:lang w:val="ru-RU" w:eastAsia="ru-RU" w:bidi="ru-RU"/>
              </w:rPr>
              <w:t>Малюточкина Анна Владимировна</w:t>
            </w:r>
          </w:p>
        </w:tc>
      </w:tr>
      <w:tr>
        <w:tc>
          <w:tcPr>
            <w:tcW w:type="dxa" w:w="4986"/>
          </w:tcPr>
          <w:p>
            <w:r/>
            <w:r>
              <w:rPr>
                <w:lang w:val="ru-RU" w:eastAsia="ru-RU" w:bidi="ru-RU"/>
              </w:rPr>
              <w:t>Контакты ответственного</w:t>
            </w:r>
          </w:p>
        </w:tc>
        <w:tc>
          <w:tcPr>
            <w:tcW w:type="dxa" w:w="4986"/>
          </w:tcPr>
          <w:p>
            <w:r/>
            <w:r>
              <w:rPr>
                <w:lang w:val="ru-RU" w:eastAsia="ru-RU" w:bidi="ru-RU"/>
              </w:rPr>
              <w:t>тел. +7 (968) 947-73-74, e-mail: psy@anyamalets.ru</w:t>
            </w:r>
          </w:p>
        </w:tc>
      </w:tr>
      <w:tr>
        <w:tc>
          <w:tcPr>
            <w:tcW w:type="dxa" w:w="4986"/>
          </w:tcPr>
          <w:p>
            <w:r/>
            <w:r>
              <w:rPr>
                <w:lang w:val="ru-RU" w:eastAsia="ru-RU" w:bidi="ru-RU"/>
              </w:rPr>
              <w:t>Дата начала обработки ПД</w:t>
            </w:r>
          </w:p>
        </w:tc>
        <w:tc>
          <w:tcPr>
            <w:tcW w:type="dxa" w:w="4986"/>
          </w:tcPr>
          <w:p>
            <w:r/>
            <w:r>
              <w:rPr>
                <w:lang w:val="ru-RU" w:eastAsia="ru-RU" w:bidi="ru-RU"/>
              </w:rPr>
              <w:t>[указать фактическую]</w:t>
            </w:r>
          </w:p>
        </w:tc>
      </w:tr>
      <w:tr>
        <w:tc>
          <w:tcPr>
            <w:tcW w:type="dxa" w:w="4986"/>
          </w:tcPr>
          <w:p>
            <w:r/>
            <w:r>
              <w:rPr>
                <w:lang w:val="ru-RU" w:eastAsia="ru-RU" w:bidi="ru-RU"/>
              </w:rPr>
              <w:t>Цель обработки</w:t>
            </w:r>
          </w:p>
        </w:tc>
        <w:tc>
          <w:tcPr>
            <w:tcW w:type="dxa" w:w="4986"/>
          </w:tcPr>
          <w:p>
            <w:r/>
            <w:r>
              <w:rPr>
                <w:lang w:val="ru-RU" w:eastAsia="ru-RU" w:bidi="ru-RU"/>
              </w:rPr>
              <w:t>Оказание психологических услуг физическим лицам, информирование о деятельности оператора, исполнение требований налогового законодательства</w:t>
            </w:r>
          </w:p>
        </w:tc>
      </w:tr>
      <w:tr>
        <w:tc>
          <w:tcPr>
            <w:tcW w:type="dxa" w:w="4986"/>
          </w:tcPr>
          <w:p>
            <w:r/>
            <w:r>
              <w:rPr>
                <w:lang w:val="ru-RU" w:eastAsia="ru-RU" w:bidi="ru-RU"/>
              </w:rPr>
              <w:t>Категории субъектов</w:t>
            </w:r>
          </w:p>
        </w:tc>
        <w:tc>
          <w:tcPr>
            <w:tcW w:type="dxa" w:w="4986"/>
          </w:tcPr>
          <w:p>
            <w:r/>
            <w:r>
              <w:rPr>
                <w:lang w:val="ru-RU" w:eastAsia="ru-RU" w:bidi="ru-RU"/>
              </w:rPr>
              <w:t>клиенты и потенциальные клиенты — физические лица; посетители сайта</w:t>
            </w:r>
          </w:p>
        </w:tc>
      </w:tr>
      <w:tr>
        <w:tc>
          <w:tcPr>
            <w:tcW w:type="dxa" w:w="4986"/>
          </w:tcPr>
          <w:p>
            <w:r/>
            <w:r>
              <w:rPr>
                <w:lang w:val="ru-RU" w:eastAsia="ru-RU" w:bidi="ru-RU"/>
              </w:rPr>
              <w:t>Категории ПД</w:t>
            </w:r>
          </w:p>
        </w:tc>
        <w:tc>
          <w:tcPr>
            <w:tcW w:type="dxa" w:w="4986"/>
          </w:tcPr>
          <w:p>
            <w:r/>
            <w:r>
              <w:rPr>
                <w:lang w:val="ru-RU" w:eastAsia="ru-RU" w:bidi="ru-RU"/>
              </w:rPr>
              <w:t>ФИО, дата рождения, контактные данные (телефон, e-mail), сведения об оплате, сведения о состоянии здоровья (специальные категории) — на основании отдельного письменного согласия по ст. 10 ФЗ-152</w:t>
            </w:r>
          </w:p>
        </w:tc>
      </w:tr>
      <w:tr>
        <w:tc>
          <w:tcPr>
            <w:tcW w:type="dxa" w:w="4986"/>
          </w:tcPr>
          <w:p>
            <w:r/>
            <w:r>
              <w:rPr>
                <w:lang w:val="ru-RU" w:eastAsia="ru-RU" w:bidi="ru-RU"/>
              </w:rPr>
              <w:t>Перечень действий с ПД</w:t>
            </w:r>
          </w:p>
        </w:tc>
        <w:tc>
          <w:tcPr>
            <w:tcW w:type="dxa" w:w="4986"/>
          </w:tcPr>
          <w:p>
            <w:r/>
            <w:r>
              <w:rPr>
                <w:lang w:val="ru-RU" w:eastAsia="ru-RU" w:bidi="ru-RU"/>
              </w:rPr>
              <w:t>сбор, запись, систематизация, накопление, хранение, уточнение, использование, передача (в случаях, предусмотренных Политикой), обезличивание, блокирование, удаление, уничтожение</w:t>
            </w:r>
          </w:p>
        </w:tc>
      </w:tr>
      <w:tr>
        <w:tc>
          <w:tcPr>
            <w:tcW w:type="dxa" w:w="4986"/>
          </w:tcPr>
          <w:p>
            <w:r/>
            <w:r>
              <w:rPr>
                <w:lang w:val="ru-RU" w:eastAsia="ru-RU" w:bidi="ru-RU"/>
              </w:rPr>
              <w:t>Способы обработки</w:t>
            </w:r>
          </w:p>
        </w:tc>
        <w:tc>
          <w:tcPr>
            <w:tcW w:type="dxa" w:w="4986"/>
          </w:tcPr>
          <w:p>
            <w:r/>
            <w:r>
              <w:rPr>
                <w:lang w:val="ru-RU" w:eastAsia="ru-RU" w:bidi="ru-RU"/>
              </w:rPr>
              <w:t>смешанная (с использованием средств автоматизации и без)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lang w:val="ru-RU" w:eastAsia="ru-RU" w:bidi="ru-RU"/>
              </w:rPr>
              <w:t>Правовое основание</w:t>
            </w:r>
          </w:p>
        </w:tc>
        <w:tc>
          <w:tcPr>
            <w:tcW w:type="dxa" w:w="4986"/>
          </w:tcPr>
          <w:p>
            <w:r/>
            <w:r>
              <w:rPr>
                <w:lang w:val="ru-RU" w:eastAsia="ru-RU" w:bidi="ru-RU"/>
              </w:rPr>
              <w:t>ст. 6 ч. 1 п.п. 1, 2, 5 ФЗ-152; ст. 10 ч. 2 п. 1 ФЗ-152 (для специальных категорий)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lang w:val="ru-RU" w:eastAsia="ru-RU" w:bidi="ru-RU"/>
              </w:rPr>
              <w:t>Меры защиты</w:t>
            </w:r>
          </w:p>
        </w:tc>
        <w:tc>
          <w:tcPr>
            <w:tcW w:type="dxa" w:w="4986"/>
          </w:tcPr>
          <w:p>
            <w:r/>
            <w:r>
              <w:rPr>
                <w:lang w:val="ru-RU" w:eastAsia="ru-RU" w:bidi="ru-RU"/>
              </w:rPr>
              <w:t>правовые, организационные и технические меры в соответствии с Положением об обработке и защите ПД</w:t>
            </w:r>
          </w:p>
        </w:tc>
      </w:tr>
      <w:tr>
        <w:tc>
          <w:tcPr>
            <w:tcW w:type="dxa" w:w="4986"/>
          </w:tcPr>
          <w:p>
            <w:r/>
            <w:r>
              <w:rPr>
                <w:lang w:val="ru-RU" w:eastAsia="ru-RU" w:bidi="ru-RU"/>
              </w:rPr>
              <w:t>Трансграничная передача</w:t>
            </w:r>
          </w:p>
        </w:tc>
        <w:tc>
          <w:tcPr>
            <w:tcW w:type="dxa" w:w="4986"/>
          </w:tcPr>
          <w:p>
            <w:r/>
            <w:r>
              <w:rPr>
                <w:lang w:val="ru-RU" w:eastAsia="ru-RU" w:bidi="ru-RU"/>
              </w:rPr>
              <w:t>не осуществляется</w:t>
            </w:r>
          </w:p>
        </w:tc>
      </w:tr>
      <w:tr>
        <w:tc>
          <w:tcPr>
            <w:tcW w:type="dxa" w:w="4986"/>
          </w:tcPr>
          <w:p>
            <w:r/>
            <w:r>
              <w:rPr>
                <w:lang w:val="ru-RU" w:eastAsia="ru-RU" w:bidi="ru-RU"/>
              </w:rPr>
              <w:t>Адрес места хранения базы данных</w:t>
            </w:r>
          </w:p>
        </w:tc>
        <w:tc>
          <w:tcPr>
            <w:tcW w:type="dxa" w:w="4986"/>
          </w:tcPr>
          <w:p>
            <w:r/>
            <w:r>
              <w:rPr>
                <w:lang w:val="ru-RU" w:eastAsia="ru-RU" w:bidi="ru-RU"/>
              </w:rPr>
              <w:t>на территории РФ: 433502, Ульяновская область, г. Димитровград, ул. 50 лет Октября, д. 82, кв. 7 (бумажные носители и локальный ноутбук); серверы Planerka.app, Яндекса, Робокассы, Продамуса — на территории РФ</w:t>
            </w:r>
          </w:p>
        </w:tc>
      </w:tr>
      <w:tr>
        <w:tc>
          <w:tcPr>
            <w:tcW w:type="dxa" w:w="4986"/>
          </w:tcPr>
          <w:p>
            <w:r/>
            <w:r>
              <w:rPr>
                <w:lang w:val="ru-RU" w:eastAsia="ru-RU" w:bidi="ru-RU"/>
              </w:rPr>
              <w:t>Сведения об обеспечении локализации (ст. 18 ч. 5 ФЗ-152)</w:t>
            </w:r>
          </w:p>
        </w:tc>
        <w:tc>
          <w:tcPr>
            <w:tcW w:type="dxa" w:w="4986"/>
          </w:tcPr>
          <w:p>
            <w:r/>
            <w:r>
              <w:rPr>
                <w:lang w:val="ru-RU" w:eastAsia="ru-RU" w:bidi="ru-RU"/>
              </w:rPr>
              <w:t>обеспечена: первичный сбор и хранение ПД граждан РФ осуществляется на территории Российской Федерации</w:t>
            </w:r>
          </w:p>
        </w:tc>
      </w:tr>
      <w:tr>
        <w:tc>
          <w:tcPr>
            <w:tcW w:type="dxa" w:w="4986"/>
          </w:tcPr>
          <w:p>
            <w:r/>
            <w:r>
              <w:rPr>
                <w:lang w:val="ru-RU" w:eastAsia="ru-RU" w:bidi="ru-RU"/>
              </w:rPr>
              <w:t>Срок обработки</w:t>
            </w:r>
          </w:p>
        </w:tc>
        <w:tc>
          <w:tcPr>
            <w:tcW w:type="dxa" w:w="4986"/>
          </w:tcPr>
          <w:p>
            <w:r/>
            <w:r>
              <w:rPr>
                <w:lang w:val="ru-RU" w:eastAsia="ru-RU" w:bidi="ru-RU"/>
              </w:rPr>
              <w:t>до отзыва согласия / до 3 лет с момента завершения оказания услуг (общие); 5 лет (платёжные документы)</w:t>
            </w:r>
          </w:p>
        </w:tc>
      </w:tr>
    </w:tbl>
    <w:p>
      <w:pPr>
        <w:pStyle w:val="Heading1"/>
      </w:pPr>
      <w:r>
        <w:rPr>
          <w:lang w:val="ru-RU" w:eastAsia="ru-RU" w:bidi="ru-RU"/>
        </w:rPr>
        <w:t>3. После подачи</w:t>
      </w:r>
    </w:p>
    <w:p>
      <w:pPr>
        <w:pStyle w:val="ListBullet"/>
      </w:pPr>
      <w:r>
        <w:rPr>
          <w:lang w:val="ru-RU" w:eastAsia="ru-RU" w:bidi="ru-RU"/>
        </w:rPr>
        <w:t>сохранить квитанцию о подаче уведомления (PDF);</w:t>
      </w:r>
    </w:p>
    <w:p>
      <w:pPr>
        <w:pStyle w:val="ListBullet"/>
      </w:pPr>
      <w:r>
        <w:rPr>
          <w:lang w:val="ru-RU" w:eastAsia="ru-RU" w:bidi="ru-RU"/>
        </w:rPr>
        <w:t>дождаться внесения в Реестр операторов (срок до 30 рабочих дней);</w:t>
      </w:r>
    </w:p>
    <w:p>
      <w:pPr>
        <w:pStyle w:val="ListBullet"/>
      </w:pPr>
      <w:r>
        <w:rPr>
          <w:lang w:val="ru-RU" w:eastAsia="ru-RU" w:bidi="ru-RU"/>
        </w:rPr>
        <w:t>проверить запись в реестре по адресу pd.rkn.gov.ru/operators-registry/;</w:t>
      </w:r>
    </w:p>
    <w:p>
      <w:pPr>
        <w:pStyle w:val="ListBullet"/>
      </w:pPr>
      <w:r>
        <w:rPr>
          <w:lang w:val="ru-RU" w:eastAsia="ru-RU" w:bidi="ru-RU"/>
        </w:rPr>
        <w:t>при изменении сведений (например, переезд) — подать уведомление об изменениях в течение 10 рабочих дней.</w:t>
      </w:r>
    </w:p>
    <w:p>
      <w:pPr>
        <w:pStyle w:val="Heading1"/>
      </w:pPr>
      <w:r>
        <w:rPr>
          <w:lang w:val="ru-RU" w:eastAsia="ru-RU" w:bidi="ru-RU"/>
        </w:rPr>
        <w:t>4. Контакты Роскомнадзора</w:t>
      </w:r>
    </w:p>
    <w:p>
      <w:pPr>
        <w:pStyle w:val="ListBullet"/>
      </w:pPr>
      <w:r>
        <w:rPr>
          <w:lang w:val="ru-RU" w:eastAsia="ru-RU" w:bidi="ru-RU"/>
        </w:rPr>
        <w:t>Сайт подачи: pd.rkn.gov.ru</w:t>
      </w:r>
    </w:p>
    <w:p>
      <w:pPr>
        <w:pStyle w:val="ListBullet"/>
      </w:pPr>
      <w:r>
        <w:rPr>
          <w:lang w:val="ru-RU" w:eastAsia="ru-RU" w:bidi="ru-RU"/>
        </w:rPr>
        <w:t>Телефон справочной: 8 (495) 198-02-22</w:t>
      </w:r>
    </w:p>
    <w:p>
      <w:pPr>
        <w:pStyle w:val="ListBullet"/>
      </w:pPr>
      <w:r>
        <w:rPr>
          <w:lang w:val="ru-RU" w:eastAsia="ru-RU" w:bidi="ru-RU"/>
        </w:rPr>
        <w:t>Адрес: 109074, г. Москва, Китайгородский проезд, д. 7, стр. 2</w:t>
      </w:r>
    </w:p>
    <w:p/>
    <w:p>
      <w:r>
        <w:rPr>
          <w:lang w:val="ru-RU" w:eastAsia="ru-RU" w:bidi="ru-RU"/>
        </w:rPr>
        <w:t>Оператор: ____________________ / А. В. Малюточкина /</w:t>
      </w:r>
    </w:p>
    <w:p>
      <w:r>
        <w:rPr>
          <w:lang w:val="ru-RU" w:eastAsia="ru-RU" w:bidi="ru-RU"/>
        </w:rPr>
        <w:t>Дата: «____» ___________ 20___ г.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  <w:lang w:val="ru-RU" w:eastAsia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