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Filled Signal Assessment Report</w:t>
      </w:r>
    </w:p>
    <w:p>
      <w:pPr>
        <w:pStyle w:val="Heading2"/>
      </w:pPr>
      <w:r>
        <w:t>Executive Summary Executive Summary</w:t>
      </w:r>
    </w:p>
    <w:p>
      <w:pPr>
        <w:pStyle w:val="Heading2"/>
      </w:pPr>
      <w:r>
        <w:t>1 Introduction</w:t>
      </w:r>
    </w:p>
    <w:p>
      <w:r>
        <w:rPr>
          <w:i/>
        </w:rPr>
        <w:t>Source: Signal assessment</w:t>
      </w:r>
    </w:p>
    <w:p>
      <w:r>
        <w:rPr>
          <w:b/>
        </w:rPr>
        <w:t>[MANUAL INPUT REQUIRED: Signal assessment]</w:t>
      </w:r>
    </w:p>
    <w:p>
      <w:pPr>
        <w:pStyle w:val="Heading2"/>
      </w:pPr>
      <w:r>
        <w:t>2 Background</w:t>
      </w:r>
    </w:p>
    <w:p>
      <w:pPr>
        <w:pStyle w:val="Heading3"/>
      </w:pPr>
      <w:r>
        <w:t>2.1 Product Background</w:t>
      </w:r>
    </w:p>
    <w:p>
      <w:r>
        <w:rPr>
          <w:i/>
        </w:rPr>
        <w:t>Source: IB</w:t>
      </w:r>
    </w:p>
    <w:p>
      <w:r>
        <w:rPr>
          <w:b/>
        </w:rPr>
        <w:t>[MANUAL INPUT REQUIRED: IB — no specific section referenced]</w:t>
      </w:r>
    </w:p>
    <w:p>
      <w:pPr>
        <w:pStyle w:val="Heading4"/>
      </w:pPr>
      <w:r>
        <w:t>2.1.1 Drug pharmacology</w:t>
      </w:r>
    </w:p>
    <w:p>
      <w:pPr>
        <w:pStyle w:val="Heading3"/>
      </w:pPr>
      <w:r>
        <w:t>From IB 2.3</w:t>
      </w:r>
    </w:p>
    <w:p>
      <w:r>
        <w:t>RET fusions as a result of chromosomal rearrangement have been found in tumors</w:t>
      </w:r>
    </w:p>
    <w:p>
      <w:r>
        <w:t>NSCLC, papillary thyroid cancer (PTC), colon, breast, pancreatic, ovary, salivary</w:t>
      </w:r>
    </w:p>
    <w:p>
      <w:r>
        <w:t>carcinomas, and inflammatory myofibroblastic tumors, and suggest that RET fusions</w:t>
      </w:r>
    </w:p>
    <w:p>
      <w:r>
        <w:t>may be oncogenic in many tumor types (Santoro et al. 1992; ATA Guidelines Taskforce</w:t>
      </w:r>
    </w:p>
    <w:p>
      <w:r>
        <w:t>et al. 2009; Ballerini et al. 2012; Kohno et al. 2012; Lipson et al. 2012; Medico et al.</w:t>
      </w:r>
    </w:p>
    <w:p>
      <w:r>
        <w:t>2015; Stransky et al. 2014; Takeuchi et al. 2012; Antonescu et al. 2015;</w:t>
      </w:r>
    </w:p>
    <w:p>
      <w:r>
        <w:t>Wang et al. 2016; Kang et al. 2017).</w:t>
      </w:r>
    </w:p>
    <w:p>
      <w:r>
        <w:t>2.3</w:t>
      </w:r>
    </w:p>
    <w:p>
      <w:r>
        <w:t>SCIENTIFIC RATIONALE</w:t>
      </w:r>
    </w:p>
    <w:p>
      <w:r>
        <w:t>Pralsetinib (RO7499790; trade name GAVRETO; formerly referred to as BLU-667,</w:t>
      </w:r>
    </w:p>
    <w:p>
      <w:r>
        <w:t>BLU123244, or X581238) is a potent and selective inhibitor of RET kinase and</w:t>
      </w:r>
    </w:p>
    <w:p>
      <w:r>
        <w:t>oncogenic RET mutants.  Pralsetinib was designed as a highly potent and selective</w:t>
      </w:r>
    </w:p>
    <w:p>
      <w:r>
        <w:t>inhibitor of oncogenic RET fusion and mutant proteins.  RET fusions are oncogenic</w:t>
      </w:r>
    </w:p>
    <w:p>
      <w:r>
        <w:t>drivers in 12% of NSCLC, 1020% of PTC and at lower prevalence, below 1% across</w:t>
      </w:r>
    </w:p>
    <w:p>
      <w:r>
        <w:t>multiple other tumor types.  RET mutations have been shown to be oncogenic in MTC</w:t>
      </w:r>
    </w:p>
    <w:p>
      <w:r>
        <w:t>with a prevalence of up to 60% in the sporadic and above 90% in the hereditary form of</w:t>
      </w:r>
    </w:p>
    <w:p>
      <w:r>
        <w:t>MTC.  Pralsetinib inhibits the ligand independent constitutive activation of the RET</w:t>
      </w:r>
    </w:p>
    <w:p>
      <w:r>
        <w:t>tyrosine kinase activity and therefore prevents downstream oncogenic cell signalling.</w:t>
      </w:r>
    </w:p>
    <w:p>
      <w:r>
        <w:t>Pralsetinib demonstrates robust antitumor activity in several RET-driven in vitro and</w:t>
      </w:r>
    </w:p>
    <w:p>
      <w:r>
        <w:t>in vivo mouse models, and tolerability at pharmacologically active doses in nonclinical</w:t>
      </w:r>
    </w:p>
    <w:p>
      <w:r>
        <w:t>toxicology studies in rats and monkeys.  Together, these data provide strong rationale</w:t>
      </w:r>
    </w:p>
    <w:p>
      <w:r>
        <w:t>for exploring the clinical utility of pralsetinib in advanced cancer patients with RET</w:t>
      </w:r>
    </w:p>
    <w:p>
      <w:r>
        <w:t>alterations (RET fusions, activating mutations, and some resistance mutations).  Overall,</w:t>
      </w:r>
    </w:p>
    <w:p>
      <w:r>
        <w:t>the available nonclinical data demonstrate an acceptable benefit-risk profile for the</w:t>
      </w:r>
    </w:p>
    <w:p>
      <w:r>
        <w:t>clinical testing of pralsetinib.</w:t>
      </w:r>
    </w:p>
    <w:p>
      <w:r>
        <w:t>2.4</w:t>
      </w:r>
    </w:p>
    <w:p>
      <w:r>
        <w:t>OVERVIEW OF CLINICAL DEVELOPMENT</w:t>
      </w:r>
    </w:p>
    <w:p>
      <w:r>
        <w:t>Studies in the clinical development program of pralsetinib include:</w:t>
      </w:r>
    </w:p>
    <w:p>
      <w:r>
        <w:t></w:t>
      </w:r>
    </w:p>
    <w:p>
      <w:r>
        <w:t>Five completed clinical studies/cohorts evaluating safety, efficacy, and PK of</w:t>
      </w:r>
    </w:p>
    <w:p>
      <w:r>
        <w:t>pralsetinib in adult patients with solid tumors with RET alterations including gene</w:t>
      </w:r>
    </w:p>
    <w:p>
      <w:r>
        <w:t>fusions:BO41932 (cohort K), ML41591 (RET cohort), ML42439, BO42863 and</w:t>
      </w:r>
    </w:p>
    <w:p>
      <w:r>
        <w:t>BO42864 (LPLV: 27 January 2025; CSR under preparation).</w:t>
      </w:r>
    </w:p>
    <w:p>
      <w:r>
        <w:t></w:t>
      </w:r>
    </w:p>
    <w:p>
      <w:r>
        <w:t>Three ongoing clinical pharmacology studies:</w:t>
      </w:r>
    </w:p>
    <w:p>
      <w:r>
        <w:t>o Patients with RET-altered solid tumors (JO43175 and JO43701)</w:t>
      </w:r>
    </w:p>
    <w:p>
      <w:r>
        <w:t>o Patients with advanced or metastatic solid tumors (GP43164)</w:t>
      </w:r>
    </w:p>
    <w:p>
      <w:r>
        <w:t></w:t>
      </w:r>
    </w:p>
    <w:p>
      <w:r>
        <w:t>Seven dedicated clinical pharmacology studies (completed) to determine the</w:t>
      </w:r>
    </w:p>
    <w:p>
      <w:r>
        <w:t>absorption, metabolism, disposition, and PK of pralsetinib in humans, and to explore</w:t>
      </w:r>
    </w:p>
    <w:p>
      <w:r>
        <w:t>the effects of extrinsic factors (food, drug-drug interactions [DDIs]) on PK</w:t>
      </w:r>
    </w:p>
    <w:p>
      <w:r>
        <w:t>parameters, to compare the relative bioavailability of different pralsetinib</w:t>
      </w:r>
    </w:p>
    <w:p>
      <w:r>
        <w:t>formulations, or to assess the impact of hepatic impairment on pralsetinib PK</w:t>
      </w:r>
    </w:p>
    <w:p>
      <w:r>
        <w:t>(BP42858, BP42859, BP42860, BP42861, BP42862, GP43162, and GP43163).  All</w:t>
      </w:r>
    </w:p>
    <w:p>
      <w:r>
        <w:t>of</w:t>
      </w:r>
    </w:p>
    <w:p>
      <w:r>
        <w:t>Investigator's Brochure: pralsetinib - F. Hoffmann-La Roche Ltd</w:t>
      </w:r>
    </w:p>
    <w:p>
      <w:r>
        <w:t>CONFIDENTIAL</w:t>
      </w:r>
    </w:p>
    <w:p>
      <w:r>
        <w:t>Version Number 10, April 2025</w:t>
      </w:r>
    </w:p>
    <w:p>
      <w:r>
        <w:t>24</w:t>
      </w:r>
    </w:p>
    <w:p>
      <w:r>
        <w:t>151</w:t>
      </w:r>
    </w:p>
    <w:p>
      <w:pPr>
        <w:pStyle w:val="Heading3"/>
      </w:pPr>
      <w:r>
        <w:t>From IB 1.2</w:t>
      </w:r>
    </w:p>
    <w:p>
      <w:r>
        <w:t>1.</w:t>
      </w:r>
    </w:p>
    <w:p>
      <w:r>
        <w:t>SUMMARY</w:t>
      </w:r>
    </w:p>
    <w:p>
      <w:r>
        <w:t>1.1</w:t>
      </w:r>
    </w:p>
    <w:p>
      <w:r>
        <w:t>SCIENTIFIC RATIONALE</w:t>
      </w:r>
    </w:p>
    <w:p>
      <w:r>
        <w:t>Rearranged during transfection (RET) is a receptor tyrosine kinase expressed in several</w:t>
      </w:r>
    </w:p>
    <w:p>
      <w:r>
        <w:t>neural, neuroendocrine, and genitourinary tissue types that normally requires ligand and</w:t>
      </w:r>
    </w:p>
    <w:p>
      <w:r>
        <w:t>co-receptor binding for activation (Mulligan 2014).  Aberrant activation of RET is a critical</w:t>
      </w:r>
    </w:p>
    <w:p>
      <w:r>
        <w:t>driver of tumor growth and proliferation across a broad number of solid tumors</w:t>
      </w:r>
    </w:p>
    <w:p>
      <w:r>
        <w:t>(Mulligan 2014).</w:t>
      </w:r>
    </w:p>
    <w:p>
      <w:r>
        <w:t>As the prevalence of tumor genomic sequencing has increased, the importance of RET</w:t>
      </w:r>
    </w:p>
    <w:p>
      <w:r>
        <w:t>alterations in human cancers provides a strong rationale for the development of</w:t>
      </w:r>
    </w:p>
    <w:p>
      <w:r>
        <w:t>therapeutics targeting RET.</w:t>
      </w:r>
    </w:p>
    <w:p>
      <w:r>
        <w:t>Pralsetinib (previously known as BLU-667) is a potent and selective oral inhibitor of RET</w:t>
      </w:r>
    </w:p>
    <w:p>
      <w:r>
        <w:t>fusion proteins and oncogenic RET mutant.  Since July 2020, pralsetinib was being co-</w:t>
      </w:r>
    </w:p>
    <w:p>
      <w:r>
        <w:t>developed as an anticancer therapeutic by Genentech/Roche (hereafter referred to as</w:t>
      </w:r>
    </w:p>
    <w:p>
      <w:r>
        <w:t>“Roche”) in collaboration with Blueprint Medicines Corporation (hereafter referred to as</w:t>
      </w:r>
    </w:p>
    <w:p>
      <w:r>
        <w:t>“Blueprint Medicines”), as well as CStone Pharmaceuticals (Suzhou) Co. Ltd. in Greater</w:t>
      </w:r>
    </w:p>
    <w:p>
      <w:r>
        <w:t>China and Chugai Pharmaceutical Co. Ltd. in Japan (hereafter referred to as “Chugai”).</w:t>
      </w:r>
    </w:p>
    <w:p>
      <w:r>
        <w:t>Effective February 22, 2024, all rights to pralsetinib previously granted to Roche and</w:t>
      </w:r>
    </w:p>
    <w:p>
      <w:r>
        <w:t>Chugai were returned to Blueprint Medicines and the collaboration between parties has</w:t>
      </w:r>
    </w:p>
    <w:p>
      <w:r>
        <w:t>been terminated.</w:t>
      </w:r>
    </w:p>
    <w:p>
      <w:r>
        <w:t>1.2</w:t>
      </w:r>
    </w:p>
    <w:p>
      <w:r>
        <w:t>PHYSICAL, CHEMICAL, AND PHARMACEUTICAL PROPERTIES</w:t>
      </w:r>
    </w:p>
    <w:p>
      <w:r>
        <w:t>AND CLINICAL FORMULATION</w:t>
      </w:r>
    </w:p>
    <w:p>
      <w:r>
        <w:t>Pralsetinib drug substance is isolated in crystalline form.  The molecule is slightly</w:t>
      </w:r>
    </w:p>
    <w:p>
      <w:r>
        <w:t>hygroscopic, and has a melting point of 2060C (determined by differential scanning</w:t>
      </w:r>
    </w:p>
    <w:p>
      <w:r>
        <w:t>calorimetry).  Pralsetinib is provided as an orally administered hard capsule.  The</w:t>
      </w:r>
    </w:p>
    <w:p>
      <w:r>
        <w:t>immediate release capsules are supplied as 100 mg dose strength in size 0 light blue</w:t>
      </w:r>
    </w:p>
    <w:p>
      <w:r>
        <w:t>opaque hydroxypropyl methylcellulose (HPMC) capsules.</w:t>
      </w:r>
    </w:p>
    <w:p>
      <w:r>
        <w:t>The pralsetinib capsules are supplied in high-density polyethylene bottles (with</w:t>
      </w:r>
    </w:p>
    <w:p>
      <w:r>
        <w:t>desiccant).  The drug product should be stored at room temperature in their original</w:t>
      </w:r>
    </w:p>
    <w:p>
      <w:r>
        <w:t>container, according to the package label.  Refer to the label or certificate of analysis for</w:t>
      </w:r>
    </w:p>
    <w:p>
      <w:r>
        <w:t>the expiry date.</w:t>
      </w:r>
    </w:p>
    <w:p>
      <w:r>
        <w:t>The polymer stabilized spray dried dispersion of the drug substance is blended with</w:t>
      </w:r>
    </w:p>
    <w:p>
      <w:r>
        <w:t>compendial excipients during manufacturing.  The drug product is manufactured and</w:t>
      </w:r>
    </w:p>
    <w:p>
      <w:r>
        <w:t>formulated following current Good Manufacturing Practices.</w:t>
      </w:r>
    </w:p>
    <w:p>
      <w:r>
        <w:t>1.3</w:t>
      </w:r>
    </w:p>
    <w:p>
      <w:r>
        <w:t>NONCLINICAL INFORMATION</w:t>
      </w:r>
    </w:p>
    <w:p>
      <w:r>
        <w:t>1.3.1</w:t>
      </w:r>
    </w:p>
    <w:p>
      <w:r>
        <w:t>Nonclinical Pharmacology</w:t>
      </w:r>
    </w:p>
    <w:p>
      <w:r>
        <w:t>Pralsetinib has demonstrated potent inhibition of RET kinase activity at the biochemical</w:t>
      </w:r>
    </w:p>
    <w:p>
      <w:r>
        <w:t>and cellular level.  In biochemical assays, pralsetinib inhibits both wild-type (WT) and</w:t>
      </w:r>
    </w:p>
    <w:p>
      <w:r>
        <w:t>of</w:t>
      </w:r>
    </w:p>
    <w:p>
      <w:r>
        <w:t>Investigator's Brochure: pralsetinib - F. Hoffmann-La Roche Ltd</w:t>
      </w:r>
    </w:p>
    <w:p>
      <w:r>
        <w:t>CONFIDENTIAL</w:t>
      </w:r>
    </w:p>
    <w:p>
      <w:r>
        <w:t>Version Number 10, April 2025</w:t>
      </w:r>
    </w:p>
    <w:p>
      <w:r>
        <w:t>15</w:t>
      </w:r>
    </w:p>
    <w:p>
      <w:r>
        <w:t>151</w:t>
      </w:r>
    </w:p>
    <w:p>
      <w:pPr>
        <w:pStyle w:val="Heading3"/>
      </w:pPr>
      <w:r>
        <w:t>From IB 3.2</w:t>
      </w:r>
    </w:p>
    <w:p>
      <w:r>
        <w:t>were conducted in healthy adult subjects except GP43163 which was conducted in</w:t>
      </w:r>
    </w:p>
    <w:p>
      <w:r>
        <w:t>patients with hepatic impairment and healthy volunteers.</w:t>
      </w:r>
    </w:p>
    <w:p>
      <w:r>
        <w:t>Key design features of these studies are summarized in Appendix 4.  For further details,</w:t>
      </w:r>
    </w:p>
    <w:p>
      <w:r>
        <w:t>please refer to the respective study protocols.</w:t>
      </w:r>
    </w:p>
    <w:p>
      <w:r>
        <w:t>A Pre-approval Access Program and individual Investigational New Drug Applications</w:t>
      </w:r>
    </w:p>
    <w:p>
      <w:r>
        <w:t>(INDs), including 449 patients with unresectable or metastatic NSCLC, MTC or a cancer</w:t>
      </w:r>
    </w:p>
    <w:p>
      <w:r>
        <w:t>of an unknown type were treated with pralsetinib under the Compassionate Use</w:t>
      </w:r>
    </w:p>
    <w:p>
      <w:r>
        <w:t>Program (CUP) and expanded access program (EAP) as of 3 March 2024.</w:t>
      </w:r>
    </w:p>
    <w:p>
      <w:r>
        <w:t>3.</w:t>
      </w:r>
    </w:p>
    <w:p>
      <w:r>
        <w:t>PHYSICAL, CHEMICAL, AND PHARMACEUTICAL PROPERTIES</w:t>
      </w:r>
    </w:p>
    <w:p>
      <w:r>
        <w:t>AND CLINICAL FORMULATION</w:t>
      </w:r>
    </w:p>
    <w:p>
      <w:r>
        <w:t>3.1</w:t>
      </w:r>
    </w:p>
    <w:p>
      <w:r>
        <w:t>PHYSICAL AND CHEMICAL PROPERTIES</w:t>
      </w:r>
    </w:p>
    <w:p>
      <w:r>
        <w:t>Pralsetinib drug substance is isolated in crystalline form.  The molecule is slightly</w:t>
      </w:r>
    </w:p>
    <w:p>
      <w:r>
        <w:t>hygroscopic, and has a melting point of 206C (determined by differential scanning</w:t>
      </w:r>
    </w:p>
    <w:p>
      <w:r>
        <w:t>calorimetry).  The solubility of pralsetinib is presented in Table 1.</w:t>
      </w:r>
    </w:p>
    <w:p>
      <w:r>
        <w:t>Table 1</w:t>
      </w:r>
    </w:p>
    <w:p>
      <w:r>
        <w:t>Physical and Chemical Properties</w:t>
      </w:r>
    </w:p>
    <w:p>
      <w:r>
        <w:t>Conditions</w:t>
      </w:r>
    </w:p>
    <w:p>
      <w:r>
        <w:t>Media</w:t>
      </w:r>
    </w:p>
    <w:p>
      <w:r>
        <w:t>Solubility (mg/mL)</w:t>
      </w:r>
    </w:p>
    <w:p>
      <w:r>
        <w:t>Solubility in aqueous</w:t>
      </w:r>
    </w:p>
    <w:p>
      <w:r>
        <w:t>solution at 25ºC</w:t>
      </w:r>
    </w:p>
    <w:p>
      <w:r>
        <w:t>50 mM USP buffer, pH 4</w:t>
      </w:r>
    </w:p>
    <w:p>
      <w:r>
        <w:t>0.07</w:t>
      </w:r>
    </w:p>
    <w:p>
      <w:r>
        <w:t>50 mM USP buffer, pH 7</w:t>
      </w:r>
    </w:p>
    <w:p>
      <w:r>
        <w:t>0.06</w:t>
      </w:r>
    </w:p>
    <w:p>
      <w:r>
        <w:t>50 mM USP buffer, pH 10</w:t>
      </w:r>
    </w:p>
    <w:p>
      <w:r>
        <w:t>0.04</w:t>
      </w:r>
    </w:p>
    <w:p>
      <w:r>
        <w:t>Solubility at 37ºC in</w:t>
      </w:r>
    </w:p>
    <w:p>
      <w:r>
        <w:t>biorelevant media</w:t>
      </w:r>
    </w:p>
    <w:p>
      <w:r>
        <w:t>Water</w:t>
      </w:r>
    </w:p>
    <w:p>
      <w:r>
        <w:t>0.06</w:t>
      </w:r>
    </w:p>
    <w:p>
      <w:r>
        <w:t>0.1 N HCl</w:t>
      </w:r>
    </w:p>
    <w:p>
      <w:r>
        <w:t>1.61</w:t>
      </w:r>
    </w:p>
    <w:p>
      <w:r>
        <w:t>SGF</w:t>
      </w:r>
    </w:p>
    <w:p>
      <w:r>
        <w:t>0.77</w:t>
      </w:r>
    </w:p>
    <w:p>
      <w:r>
        <w:t>FaSSIF</w:t>
      </w:r>
    </w:p>
    <w:p>
      <w:r>
        <w:t>0.05</w:t>
      </w:r>
    </w:p>
    <w:p>
      <w:r>
        <w:t>FeSSIF</w:t>
      </w:r>
    </w:p>
    <w:p>
      <w:r>
        <w:t>0.07</w:t>
      </w:r>
    </w:p>
    <w:p>
      <w:r>
        <w:t>FaSSIF  fasted state simulated intestinal fluid; FeSSIF  fed state simulated intestinal fluid;</w:t>
      </w:r>
    </w:p>
    <w:p>
      <w:r>
        <w:t>HCl  hydrochloric acid; SGF  simulated gastric fluid; USP  United States Pharmacopeia.</w:t>
      </w:r>
    </w:p>
    <w:p>
      <w:r>
        <w:t>USP solubility definitions:   0.1 mg/mL: practically insoluble; 0.11 mg/mL: very slightly soluble;</w:t>
      </w:r>
    </w:p>
    <w:p>
      <w:r>
        <w:t>110 mg/mL: slightly soluble; 1033 mg/mL: sparingly soluble; 33100 mg/mL: soluble;</w:t>
      </w:r>
    </w:p>
    <w:p>
      <w:r>
        <w:t>1001000 mg/mL: freely soluble.</w:t>
      </w:r>
    </w:p>
    <w:p>
      <w:r>
        <w:t>3.2</w:t>
      </w:r>
    </w:p>
    <w:p>
      <w:r>
        <w:t>CLINICAL FORMULATION</w:t>
      </w:r>
    </w:p>
    <w:p>
      <w:r>
        <w:t>Pralsetinib drug product is supplied for oral administration as immediate release HPMC</w:t>
      </w:r>
    </w:p>
    <w:p>
      <w:r>
        <w:t>hard capsules.  The polymer stabilized spray dried dispersion of the drug substance is</w:t>
      </w:r>
    </w:p>
    <w:p>
      <w:r>
        <w:t>blended with compendial excipients during manufacturing.  The drug product is</w:t>
      </w:r>
    </w:p>
    <w:p>
      <w:r>
        <w:t>manufactured and formulated following current Good Manufacturing Practices.</w:t>
      </w:r>
    </w:p>
    <w:p>
      <w:r>
        <w:t>of</w:t>
      </w:r>
    </w:p>
    <w:p>
      <w:r>
        <w:t>Investigator's Brochure: pralsetinib - F. Hoffmann-La Roche Ltd</w:t>
      </w:r>
    </w:p>
    <w:p>
      <w:r>
        <w:t>CONFIDENTIAL</w:t>
      </w:r>
    </w:p>
    <w:p>
      <w:r>
        <w:t>Version Number 10, April 2025</w:t>
      </w:r>
    </w:p>
    <w:p>
      <w:r>
        <w:t>25</w:t>
      </w:r>
    </w:p>
    <w:p>
      <w:r>
        <w:t>151</w:t>
      </w:r>
    </w:p>
    <w:p>
      <w:pPr>
        <w:pStyle w:val="Heading4"/>
      </w:pPr>
      <w:r>
        <w:t>2.1.2 Therapeutic Indications</w:t>
      </w:r>
    </w:p>
    <w:p>
      <w:r>
        <w:rPr>
          <w:i/>
        </w:rPr>
        <w:t>Source: IB 6.1</w:t>
      </w:r>
    </w:p>
    <w:p>
      <w:r>
        <w:t>5.5.5</w:t>
      </w:r>
    </w:p>
    <w:p>
      <w:r>
        <w:t>Pre-approval Access Program and Individual INDs</w:t>
      </w:r>
    </w:p>
    <w:p>
      <w:r>
        <w:t>A total of 393 patients who have RET fusion-positive or RET-altered cancers and are</w:t>
      </w:r>
    </w:p>
    <w:p>
      <w:r>
        <w:t>either ineligible or are otherwise unable to access an ongoing pralsetinib clinical trial</w:t>
      </w:r>
    </w:p>
    <w:p>
      <w:r>
        <w:t>have been treated with pralsetinib as part of a PAAP and individual INDs under the CUP,</w:t>
      </w:r>
    </w:p>
    <w:p>
      <w:r>
        <w:t>of whom 2 patients received pralsetinib in combination with osimertinib and 1 patient</w:t>
      </w:r>
    </w:p>
    <w:p>
      <w:r>
        <w:t>received pralsetinib in combination with gefitinib as of 18 December 2021.</w:t>
      </w:r>
    </w:p>
    <w:p>
      <w:r>
        <w:t>5.6</w:t>
      </w:r>
    </w:p>
    <w:p>
      <w:r>
        <w:t>MARKETING EXPERIENCE</w:t>
      </w:r>
    </w:p>
    <w:p>
      <w:r>
        <w:t>GAVRETO (pralsetinib) was first granted marketing approval in the U.S. on 4 September</w:t>
      </w:r>
    </w:p>
    <w:p>
      <w:r>
        <w:t>2020, which marks its international birth date (IBD).  GAVRETO was then further</w:t>
      </w:r>
    </w:p>
    <w:p>
      <w:r>
        <w:t>approved in over 60 countries worldwide, most of which are now discontinuing the</w:t>
      </w:r>
    </w:p>
    <w:p>
      <w:r>
        <w:t>commercialization of the product for commercial reasons.  Since the marketing</w:t>
      </w:r>
    </w:p>
    <w:p>
      <w:r>
        <w:t>authorization, overall reported AEs have been consistent with the known safety profile of</w:t>
      </w:r>
    </w:p>
    <w:p>
      <w:r>
        <w:t>pralsetinib; no new risks have been identified in the post-marketing setting.</w:t>
      </w:r>
    </w:p>
    <w:p>
      <w:r>
        <w:t>Since the IBD (4 September 2020), an estimated cumulative total of 2,322 patients have</w:t>
      </w:r>
    </w:p>
    <w:p>
      <w:r>
        <w:t>received GAVRETO from marketing experience.</w:t>
      </w:r>
    </w:p>
    <w:p>
      <w:r>
        <w:t>6.</w:t>
      </w:r>
    </w:p>
    <w:p>
      <w:r>
        <w:t>GUIDANCE FOR THE INVESTIGATOR (INCLUDING</w:t>
      </w:r>
    </w:p>
    <w:p>
      <w:r>
        <w:t>REFERENCE SAFETY INFORMATION)</w:t>
      </w:r>
    </w:p>
    <w:p>
      <w:r>
        <w:t>Investigators should also consult the local prescribing information if the IMP is approved</w:t>
      </w:r>
    </w:p>
    <w:p>
      <w:r>
        <w:t>in your country.</w:t>
      </w:r>
    </w:p>
    <w:p>
      <w:r>
        <w:t>6.1</w:t>
      </w:r>
    </w:p>
    <w:p>
      <w:r>
        <w:t>APPROVED INDICATIONS</w:t>
      </w:r>
    </w:p>
    <w:p>
      <w:r>
        <w:t>The following indications are approved:</w:t>
      </w:r>
    </w:p>
    <w:p>
      <w:r>
        <w:t></w:t>
      </w:r>
    </w:p>
    <w:p>
      <w:r>
        <w:t>Gavreto is indicated for the treatment of adult patients with RET fusion-positive,</w:t>
      </w:r>
    </w:p>
    <w:p>
      <w:r>
        <w:t>locally advanced or metastatic NSCLC.</w:t>
      </w:r>
    </w:p>
    <w:p>
      <w:r>
        <w:t></w:t>
      </w:r>
    </w:p>
    <w:p>
      <w:r>
        <w:t>Gavreto is indicated for the treatment of adult and pediatric patients 12 years of age</w:t>
      </w:r>
    </w:p>
    <w:p>
      <w:r>
        <w:t>and older with locally advanced or metastatic RET-mutant MTC who require</w:t>
      </w:r>
    </w:p>
    <w:p>
      <w:r>
        <w:t>systemic therapy.</w:t>
      </w:r>
    </w:p>
    <w:p>
      <w:r>
        <w:t></w:t>
      </w:r>
    </w:p>
    <w:p>
      <w:r>
        <w:t>Gavreto is indicated for the treatment of adult and pediatric patients 12 years of age</w:t>
      </w:r>
    </w:p>
    <w:p>
      <w:r>
        <w:t>and older with locally advanced or metastatic RET fusion-positive thyroid cancer</w:t>
      </w:r>
    </w:p>
    <w:p>
      <w:r>
        <w:t>who require systemic therapy and who are radioactive iodine-refractory (if</w:t>
      </w:r>
    </w:p>
    <w:p>
      <w:r>
        <w:t>radioactive iodine is appropriate).</w:t>
      </w:r>
    </w:p>
    <w:p>
      <w:r>
        <w:t>The indication wording is based on the Core Data Sheet (CDS). Exact wording may vary</w:t>
      </w:r>
    </w:p>
    <w:p>
      <w:r>
        <w:t>from country to country.</w:t>
      </w:r>
    </w:p>
    <w:p>
      <w:r>
        <w:t>6.2</w:t>
      </w:r>
    </w:p>
    <w:p>
      <w:r>
        <w:t>CONTRAINDICATIONS</w:t>
      </w:r>
    </w:p>
    <w:p>
      <w:r>
        <w:t>Pralsetinib is contraindicated in patients with a known hypersensitivity to pralsetinib or</w:t>
      </w:r>
    </w:p>
    <w:p>
      <w:r>
        <w:t>any of the excipients.</w:t>
      </w:r>
    </w:p>
    <w:p>
      <w:r>
        <w:t>of</w:t>
      </w:r>
    </w:p>
    <w:p>
      <w:r>
        <w:t>Investigator's Brochure: pralsetinib - F. Hoffmann-La Roche Ltd</w:t>
      </w:r>
    </w:p>
    <w:p>
      <w:r>
        <w:t>CONFIDENTIAL</w:t>
      </w:r>
    </w:p>
    <w:p>
      <w:r>
        <w:t>Version Number 10, April 2025</w:t>
      </w:r>
    </w:p>
    <w:p>
      <w:r>
        <w:t>99</w:t>
      </w:r>
    </w:p>
    <w:p>
      <w:r>
        <w:t>151</w:t>
      </w:r>
    </w:p>
    <w:p>
      <w:pPr>
        <w:pStyle w:val="Heading4"/>
      </w:pPr>
      <w:r>
        <w:t>2.1.3 Patient exposure</w:t>
      </w:r>
    </w:p>
    <w:p>
      <w:r>
        <w:rPr>
          <w:i/>
        </w:rPr>
        <w:t>Source: PBRER Section 5</w:t>
      </w:r>
    </w:p>
    <w:p>
      <w:r>
        <w:rPr>
          <w:b/>
        </w:rPr>
        <w:t>[MANUAL INPUT REQUIRED: PBRER Section 5]</w:t>
      </w:r>
    </w:p>
    <w:p>
      <w:pPr>
        <w:pStyle w:val="Heading3"/>
      </w:pPr>
      <w:r>
        <w:t>2.2 Event of Interest</w:t>
      </w:r>
    </w:p>
    <w:p>
      <w:r>
        <w:rPr>
          <w:i/>
        </w:rPr>
        <w:t>Source: UpToDate</w:t>
      </w:r>
    </w:p>
    <w:p>
      <w:r>
        <w:rPr>
          <w:b/>
        </w:rPr>
        <w:t>[MANUAL INPUT REQUIRED: UpToDate]</w:t>
      </w:r>
    </w:p>
    <w:p>
      <w:pPr>
        <w:pStyle w:val="Heading2"/>
      </w:pPr>
      <w:r>
        <w:t>3 Review of data from all sources</w:t>
      </w:r>
    </w:p>
    <w:p>
      <w:pPr>
        <w:pStyle w:val="Heading3"/>
      </w:pPr>
      <w:r>
        <w:t>3.1 Review of toxicology data</w:t>
      </w:r>
    </w:p>
    <w:p>
      <w:r>
        <w:rPr>
          <w:i/>
        </w:rPr>
        <w:t>Source: IB Section 4.3.3</w:t>
      </w:r>
    </w:p>
    <w:p>
      <w:r>
        <w:t>4.3.3</w:t>
      </w:r>
    </w:p>
    <w:p>
      <w:r>
        <w:t>Repeat-Dose Toxicity</w:t>
      </w:r>
    </w:p>
    <w:p>
      <w:r>
        <w:t>Repeat-dose oral toxicity studies up to 13-weeks in duration were conducted in rats and</w:t>
      </w:r>
    </w:p>
    <w:p>
      <w:r>
        <w:t>monkeys and included an assessment of recovery from pralsetinib-related effects in the</w:t>
      </w:r>
    </w:p>
    <w:p>
      <w:r>
        <w:t>28-day studies (Table 4).  Pralsetinib was administered QD by oral gavage in all studies.</w:t>
      </w:r>
    </w:p>
    <w:p>
      <w:r>
        <w:t>The main toxicities of pralsetinib observed in rat and/or monkeys included hematological</w:t>
      </w:r>
    </w:p>
    <w:p>
      <w:r>
        <w:t>abnormalities, effects on bony tissues, reproductive/developmental toxicities, metabolic</w:t>
      </w:r>
    </w:p>
    <w:p>
      <w:r>
        <w:t>perturbation, and effects on cardiovascular and gastrointestinal systems, as discussed</w:t>
      </w:r>
    </w:p>
    <w:p>
      <w:r>
        <w:t>below.  With the exception of embryofetal toxicities discussed in Section 4.3.6, which</w:t>
      </w:r>
    </w:p>
    <w:p>
      <w:r>
        <w:t>were attributed to on-target RET inhibition, the majority of the pralsetinib-related</w:t>
      </w:r>
    </w:p>
    <w:p>
      <w:r>
        <w:t>toxicologic effects were attributed to off-target kinase inhibition (i.e., JAK2, VEGFR, and</w:t>
      </w:r>
    </w:p>
    <w:p>
      <w:r>
        <w:t>FGFR).  The severely toxic effects in the rat were primarily the result of inanition,</w:t>
      </w:r>
    </w:p>
    <w:p>
      <w:r>
        <w:t>hematologic abnormalities, vascular perturbations, and metabolic alterations.  The</w:t>
      </w:r>
    </w:p>
    <w:p>
      <w:r>
        <w:t>severely toxic effect in monkeys was attributed to bacterial sepsis secondary to</w:t>
      </w:r>
    </w:p>
    <w:p>
      <w:r>
        <w:t>VEGFR‑inhibition mediated gastrointestinal barrier dysfunction (erosion/ulceration).</w:t>
      </w:r>
    </w:p>
    <w:p>
      <w:r>
        <w:t>4.3.3.1</w:t>
      </w:r>
    </w:p>
    <w:p>
      <w:r>
        <w:t>Effects on Hematologic and Lymphoid Systems</w:t>
      </w:r>
    </w:p>
    <w:p>
      <w:r>
        <w:t>Hematological abnormalities (reduced bone marrow cellularity, reduced hemoglobin,</w:t>
      </w:r>
    </w:p>
    <w:p>
      <w:r>
        <w:t>reduced reticulocytes), and lymphoid effects (reduced lymphoid cellularity and</w:t>
      </w:r>
    </w:p>
    <w:p>
      <w:r>
        <w:t>decreased lymphocyte counts) were noted in rat and/or monkey at doses  5 mg/kg.</w:t>
      </w:r>
    </w:p>
    <w:p>
      <w:r>
        <w:t>Reduced bone marrow cellularity was considered adverse in rat at doses  20 mg/kg.</w:t>
      </w:r>
    </w:p>
    <w:p>
      <w:r>
        <w:t>These effects were dose-dependent and reversible.  The primary cellular effects on the</w:t>
      </w:r>
    </w:p>
    <w:p>
      <w:r>
        <w:t>bone marrow and erythron parameters were attributed to off-target JAK2 inhibition due</w:t>
      </w:r>
    </w:p>
    <w:p>
      <w:r>
        <w:t>to the reliance upon JAK2 for erythropoietin signaling (Parganas et al. 1998;</w:t>
      </w:r>
    </w:p>
    <w:p>
      <w:r>
        <w:t>Broxmeyer 2013; Springuel et al. 2015).  The decreased cellularity of lymphoid organs</w:t>
      </w:r>
    </w:p>
    <w:p>
      <w:r>
        <w:t>corresponding with changes in the leukon, notably decreased lymphocytes with</w:t>
      </w:r>
    </w:p>
    <w:p>
      <w:r>
        <w:t>increased neutrophils and monocytes, was attributed to stress response rather than to</w:t>
      </w:r>
    </w:p>
    <w:p>
      <w:r>
        <w:t>pralsetinib-related off-target effects (Everds et al. 2013).</w:t>
      </w:r>
    </w:p>
    <w:p>
      <w:r>
        <w:t>4.3.3.2</w:t>
      </w:r>
    </w:p>
    <w:p>
      <w:r>
        <w:t>Effects on Bone</w:t>
      </w:r>
    </w:p>
    <w:p>
      <w:r>
        <w:t>Effects on bone (physeal dysplasia) in both rats and monkeys and incisor tooth</w:t>
      </w:r>
    </w:p>
    <w:p>
      <w:r>
        <w:t>degeneration in rats were observed at doses  10 mg/kg in rat and at 15/7.5 mg/kg in</w:t>
      </w:r>
    </w:p>
    <w:p>
      <w:r>
        <w:t>monkeys (28-day study only).  Physeal dysplasia is a lesion often encountered</w:t>
      </w:r>
    </w:p>
    <w:p>
      <w:r>
        <w:t>secondary to impairment of VEGF-dependent angiogenesis, while incisor degeneration</w:t>
      </w:r>
    </w:p>
    <w:p>
      <w:r>
        <w:t>has been previously described after VEGF and FGFR tyrosine kinase inhibition</w:t>
      </w:r>
    </w:p>
    <w:p>
      <w:r>
        <w:t>(Patyna et al. 2008; Chen and Cleck 2009; Fletcher et al. 2010).  In general, the physes</w:t>
      </w:r>
    </w:p>
    <w:p>
      <w:r>
        <w:t>of humans close at puberty and thus are not susceptible to drug-related physeal</w:t>
      </w:r>
    </w:p>
    <w:p>
      <w:r>
        <w:t>dysorganization observed in rodents, which have a persistent open physis (Frazier 2017;</w:t>
      </w:r>
    </w:p>
    <w:p>
      <w:r>
        <w:t>Hall et al. 2016). Similarly, the incisor teeth in rodents grow continuously making the</w:t>
      </w:r>
    </w:p>
    <w:p>
      <w:r>
        <w:t>translatability of incisor degeneration to humans unclear.</w:t>
      </w:r>
    </w:p>
    <w:p>
      <w:r>
        <w:t>4.3.3.3</w:t>
      </w:r>
    </w:p>
    <w:p>
      <w:r>
        <w:t>Metabolic Effects</w:t>
      </w:r>
    </w:p>
    <w:p>
      <w:r>
        <w:t>Elevation of circulating phosphorus concentration with corresponding mineralization in</w:t>
      </w:r>
    </w:p>
    <w:p>
      <w:r>
        <w:t>soft tissues was present in the rat.  The mineralization was minimal and non-adverse at</w:t>
      </w:r>
    </w:p>
    <w:p>
      <w:r>
        <w:t>of</w:t>
      </w:r>
    </w:p>
    <w:p>
      <w:r>
        <w:t>Investigator's Brochure: pralsetinib - F. Hoffmann-La Roche Ltd</w:t>
      </w:r>
    </w:p>
    <w:p>
      <w:r>
        <w:t>CONFIDENTIAL</w:t>
      </w:r>
    </w:p>
    <w:p>
      <w:r>
        <w:t>Version Number 10, April 2025</w:t>
      </w:r>
    </w:p>
    <w:p>
      <w:r>
        <w:t>36</w:t>
      </w:r>
    </w:p>
    <w:p>
      <w:r>
        <w:t>151</w:t>
      </w:r>
    </w:p>
    <w:p>
      <w:pPr>
        <w:pStyle w:val="Heading3"/>
      </w:pPr>
      <w:r>
        <w:t>3.2 Review of clinical studies</w:t>
      </w:r>
    </w:p>
    <w:p>
      <w:pPr>
        <w:pStyle w:val="Heading3"/>
      </w:pPr>
      <w:r>
        <w:t>3.3 Review of safety database</w:t>
      </w:r>
    </w:p>
    <w:p>
      <w:r>
        <w:rPr>
          <w:i/>
        </w:rPr>
        <w:t>Source: Company safety database</w:t>
      </w:r>
    </w:p>
    <w:p>
      <w:r>
        <w:rPr>
          <w:b/>
        </w:rPr>
        <w:t>[MANUAL INPUT REQUIRED: Company safety database]</w:t>
      </w:r>
    </w:p>
    <w:p>
      <w:pPr>
        <w:pStyle w:val="Heading4"/>
      </w:pPr>
      <w:r>
        <w:t>3.3.1 Methodology</w:t>
      </w:r>
    </w:p>
    <w:p>
      <w:r>
        <w:rPr>
          <w:i/>
        </w:rPr>
        <w:t>Source: Company safety database</w:t>
      </w:r>
    </w:p>
    <w:p>
      <w:r>
        <w:rPr>
          <w:b/>
        </w:rPr>
        <w:t>[MANUAL INPUT REQUIRED: Company safety database]</w:t>
      </w:r>
    </w:p>
    <w:p>
      <w:pPr>
        <w:pStyle w:val="Heading4"/>
      </w:pPr>
      <w:r>
        <w:t>3.3.2 Results</w:t>
      </w:r>
    </w:p>
    <w:p>
      <w:r>
        <w:rPr>
          <w:i/>
        </w:rPr>
        <w:t>Source: Company safety database</w:t>
      </w:r>
    </w:p>
    <w:p>
      <w:r>
        <w:rPr>
          <w:b/>
        </w:rPr>
        <w:t>[MANUAL INPUT REQUIRED: Company safety database]</w:t>
      </w:r>
    </w:p>
    <w:p>
      <w:pPr>
        <w:pStyle w:val="Heading4"/>
      </w:pPr>
      <w:r>
        <w:t>3.3.3 Summary</w:t>
      </w:r>
    </w:p>
    <w:p>
      <w:pPr>
        <w:pStyle w:val="Heading3"/>
      </w:pPr>
      <w:r>
        <w:t>3.4 Literature review</w:t>
      </w:r>
    </w:p>
    <w:p>
      <w:pPr>
        <w:pStyle w:val="Heading3"/>
      </w:pPr>
      <w:r>
        <w:t>From Medline</w:t>
      </w:r>
    </w:p>
    <w:p>
      <w:r>
        <w:rPr>
          <w:b/>
        </w:rPr>
        <w:t>[MANUAL INPUT REQUIRED: Medline]</w:t>
      </w:r>
    </w:p>
    <w:p>
      <w:pPr>
        <w:pStyle w:val="Heading3"/>
      </w:pPr>
      <w:r>
        <w:t>From Embase</w:t>
      </w:r>
    </w:p>
    <w:p>
      <w:r>
        <w:rPr>
          <w:b/>
        </w:rPr>
        <w:t>[MANUAL INPUT REQUIRED: Embase]</w:t>
      </w:r>
    </w:p>
    <w:p>
      <w:pPr>
        <w:pStyle w:val="Heading3"/>
      </w:pPr>
      <w:r>
        <w:t>3.5 Review of external databases</w:t>
      </w:r>
    </w:p>
    <w:p>
      <w:pPr>
        <w:pStyle w:val="Heading3"/>
      </w:pPr>
      <w:r>
        <w:t>3.6 Biological plausibility</w:t>
      </w:r>
    </w:p>
    <w:p>
      <w:pPr>
        <w:pStyle w:val="Heading2"/>
      </w:pPr>
      <w:r>
        <w:t>4 Discussion</w:t>
      </w:r>
    </w:p>
    <w:p>
      <w:pPr>
        <w:pStyle w:val="Heading2"/>
      </w:pPr>
      <w:r>
        <w:t>5 Conclusion</w:t>
      </w:r>
    </w:p>
    <w:p>
      <w:pPr>
        <w:pStyle w:val="Heading2"/>
      </w:pPr>
      <w:r>
        <w:t>6 References</w:t>
      </w:r>
    </w:p>
    <w:p>
      <w:pPr>
        <w:pStyle w:val="Heading2"/>
      </w:pPr>
      <w:r>
        <w:t>Appendices Appendices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