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8D05" w14:textId="77777777" w:rsidR="005B630E" w:rsidRDefault="00000000">
      <w:pPr>
        <w:pStyle w:val="Heading1"/>
      </w:pPr>
      <w:r>
        <w:t>The DPCO's Guide to Filing a Compliance Audit Return (CAR) Under the NDPA and GAID</w:t>
      </w:r>
    </w:p>
    <w:p w14:paraId="0617CF96" w14:textId="77777777" w:rsidR="005B630E" w:rsidRDefault="00000000">
      <w:r>
        <w:t>Oct 7, 2026 · @victor</w:t>
      </w:r>
    </w:p>
    <w:p w14:paraId="233F24AB" w14:textId="77777777" w:rsidR="005B630E" w:rsidRDefault="00000000">
      <w:pPr>
        <w:pStyle w:val="Heading2"/>
      </w:pPr>
      <w:r>
        <w:t>What a Compliance Audit Return is</w:t>
      </w:r>
    </w:p>
    <w:p w14:paraId="486E6EA4" w14:textId="23075D73" w:rsidR="005B630E" w:rsidRDefault="00000000">
      <w:r>
        <w:t xml:space="preserve">A Compliance Audit Return (CAR) is the yearly report that data controllers and processors of major importance file with the Nigeria Data Protection Commission (NDPC). It shows how the </w:t>
      </w:r>
      <w:r w:rsidR="0099229B">
        <w:t>organization</w:t>
      </w:r>
      <w:r>
        <w:t xml:space="preserve"> complied with the Nigeria Data Protection Act (NDPA) 2023 and the General Application and Implementation Directive (GAID) 2025 over the past year.</w:t>
      </w:r>
    </w:p>
    <w:p w14:paraId="4F975E19" w14:textId="75918D80" w:rsidR="005B630E" w:rsidRDefault="0099229B">
      <w:r>
        <w:t>Organizations</w:t>
      </w:r>
      <w:r w:rsidR="00000000">
        <w:t xml:space="preserve"> cannot file it themselves. The CAR is submitted on the NDPC's compliance portal by a licensed Data Protection Compliance </w:t>
      </w:r>
      <w:r>
        <w:t>Organization</w:t>
      </w:r>
      <w:r w:rsidR="00000000">
        <w:t xml:space="preserve"> (DPCO) acting for the client. That makes every CAR a DPCO engagement — and every January to March a crunch for DPCO teams juggling many clients at once.</w:t>
      </w:r>
    </w:p>
    <w:p w14:paraId="7D01BAB9" w14:textId="77777777" w:rsidR="005B630E" w:rsidRDefault="00000000">
      <w:r>
        <w:t>This guide is for those teams. It covers who must file, deadlines and fees, what the audit assesses, and a repeatable process for running CAR engagements without the last-minute scramble.</w:t>
      </w:r>
    </w:p>
    <w:p w14:paraId="46653CA6" w14:textId="77777777" w:rsidR="005B630E" w:rsidRDefault="00000000">
      <w:pPr>
        <w:pStyle w:val="Heading2"/>
      </w:pPr>
      <w:r>
        <w:t>Who must file a CAR</w:t>
      </w:r>
    </w:p>
    <w:p w14:paraId="34D48672" w14:textId="4F48562B" w:rsidR="005B630E" w:rsidRDefault="00000000">
      <w:r>
        <w:t xml:space="preserve">Only </w:t>
      </w:r>
      <w:r w:rsidR="0099229B">
        <w:t>organizations</w:t>
      </w:r>
      <w:r>
        <w:t xml:space="preserve"> in the Ultra-High Level (UHL) and Extra-High Level (EHL) categories must file. Placement depends on sector and on how many data subjects the </w:t>
      </w:r>
      <w:r w:rsidR="0099229B">
        <w:t>organization</w:t>
      </w:r>
      <w:r>
        <w:t xml:space="preserve"> processes within six months.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B630E" w14:paraId="2D721362" w14:textId="77777777">
        <w:trPr>
          <w:tblHeader/>
        </w:trPr>
        <w:tc>
          <w:tcPr>
            <w:tcW w:w="3120" w:type="dxa"/>
            <w:shd w:val="clear" w:color="auto" w:fill="F2F2F2"/>
          </w:tcPr>
          <w:p w14:paraId="58368A98" w14:textId="77777777" w:rsidR="005B630E" w:rsidRDefault="00000000">
            <w:r>
              <w:t>Category</w:t>
            </w:r>
          </w:p>
        </w:tc>
        <w:tc>
          <w:tcPr>
            <w:tcW w:w="3120" w:type="dxa"/>
            <w:shd w:val="clear" w:color="auto" w:fill="F2F2F2"/>
          </w:tcPr>
          <w:p w14:paraId="3F6FD87D" w14:textId="77777777" w:rsidR="005B630E" w:rsidRDefault="00000000">
            <w:r>
              <w:t>Sectors listed</w:t>
            </w:r>
          </w:p>
        </w:tc>
        <w:tc>
          <w:tcPr>
            <w:tcW w:w="3120" w:type="dxa"/>
            <w:shd w:val="clear" w:color="auto" w:fill="F2F2F2"/>
          </w:tcPr>
          <w:p w14:paraId="40D10322" w14:textId="77777777" w:rsidR="005B630E" w:rsidRDefault="00000000">
            <w:r>
              <w:t>Volume threshold (within 6 months)</w:t>
            </w:r>
          </w:p>
        </w:tc>
      </w:tr>
      <w:tr w:rsidR="005B630E" w14:paraId="7832F0E2" w14:textId="77777777">
        <w:tc>
          <w:tcPr>
            <w:tcW w:w="3120" w:type="dxa"/>
          </w:tcPr>
          <w:p w14:paraId="0C5E5CE3" w14:textId="77777777" w:rsidR="005B630E" w:rsidRDefault="00000000">
            <w:r>
              <w:t>Ultra-High Level (UHL)</w:t>
            </w:r>
          </w:p>
        </w:tc>
        <w:tc>
          <w:tcPr>
            <w:tcW w:w="3120" w:type="dxa"/>
          </w:tcPr>
          <w:p w14:paraId="1B1E327B" w14:textId="77777777" w:rsidR="005B630E" w:rsidRDefault="00000000">
            <w:r>
              <w:t>Commercial banks, telecoms, insurance, multinationals, electricity distribution, oil and gas, public social media and email apps, communication device makers, payment gateways, fintechs</w:t>
            </w:r>
          </w:p>
        </w:tc>
        <w:tc>
          <w:tcPr>
            <w:tcW w:w="3120" w:type="dxa"/>
          </w:tcPr>
          <w:p w14:paraId="70834D21" w14:textId="77777777" w:rsidR="005B630E" w:rsidRDefault="00000000">
            <w:r>
              <w:t>Over 5,000 data subjects</w:t>
            </w:r>
          </w:p>
        </w:tc>
      </w:tr>
      <w:tr w:rsidR="005B630E" w14:paraId="3E79B2FD" w14:textId="77777777">
        <w:tc>
          <w:tcPr>
            <w:tcW w:w="3120" w:type="dxa"/>
          </w:tcPr>
          <w:p w14:paraId="554FFEB8" w14:textId="77777777" w:rsidR="005B630E" w:rsidRDefault="00000000">
            <w:r>
              <w:t>Extra-High Level (EHL)</w:t>
            </w:r>
          </w:p>
        </w:tc>
        <w:tc>
          <w:tcPr>
            <w:tcW w:w="3120" w:type="dxa"/>
          </w:tcPr>
          <w:p w14:paraId="78EBB2FB" w14:textId="77777777" w:rsidR="005B630E" w:rsidRDefault="00000000">
            <w:r>
              <w:t>Government MDAs, microfinance banks, higher institutions, secondary and tertiary hospitals, mortgage banks</w:t>
            </w:r>
          </w:p>
        </w:tc>
        <w:tc>
          <w:tcPr>
            <w:tcW w:w="3120" w:type="dxa"/>
          </w:tcPr>
          <w:p w14:paraId="053E34BC" w14:textId="77777777" w:rsidR="005B630E" w:rsidRDefault="00000000">
            <w:r>
              <w:t>Over 1,000 but under 5,000 data subjects</w:t>
            </w:r>
          </w:p>
        </w:tc>
      </w:tr>
    </w:tbl>
    <w:p w14:paraId="5DD47192" w14:textId="77777777" w:rsidR="005B630E" w:rsidRDefault="00000000">
      <w:r>
        <w:t>The first job in any CAR engagement is confirming your client's category. A fast-growing fintech or a hospital that has added branches may have moved up a level since last year.</w:t>
      </w:r>
    </w:p>
    <w:p w14:paraId="3A15C9D4" w14:textId="77777777" w:rsidR="005B630E" w:rsidRDefault="00000000">
      <w:r>
        <w:lastRenderedPageBreak/>
        <w:t xml:space="preserve">Ordinary-High Level </w:t>
      </w:r>
      <w:proofErr w:type="spellStart"/>
      <w:r>
        <w:t>organisations</w:t>
      </w:r>
      <w:proofErr w:type="spellEnd"/>
      <w:r>
        <w:t xml:space="preserve"> still owe full NDPA compliance, but the CAR filing duty sits with UHL and EHL.</w:t>
      </w:r>
    </w:p>
    <w:p w14:paraId="70EC910C" w14:textId="77777777" w:rsidR="005B630E" w:rsidRDefault="00000000">
      <w:pPr>
        <w:pStyle w:val="Heading2"/>
      </w:pPr>
      <w:r>
        <w:t>Deadlines, fees and penalties</w:t>
      </w:r>
    </w:p>
    <w:p w14:paraId="3E855AB1" w14:textId="77777777" w:rsidR="005B630E" w:rsidRDefault="00000000">
      <w:r>
        <w:t>The CAR is due on or before 31 March every year, covering the previous calendar year. For 2026 processing, that means 31 March 2027. The NDPC can extend it — the 2025 deadline moved to 30 May 2026 — but plan for 31 March.</w:t>
      </w:r>
    </w:p>
    <w:p w14:paraId="1CF51058" w14:textId="77777777" w:rsidR="005B630E" w:rsidRDefault="00000000">
      <w:r>
        <w:t>Filing fees under the GAID depend on category and tier: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B630E" w14:paraId="5629B6CA" w14:textId="77777777">
        <w:trPr>
          <w:tblHeader/>
        </w:trPr>
        <w:tc>
          <w:tcPr>
            <w:tcW w:w="2340" w:type="dxa"/>
            <w:shd w:val="clear" w:color="auto" w:fill="F2F2F2"/>
          </w:tcPr>
          <w:p w14:paraId="0080C3DC" w14:textId="77777777" w:rsidR="005B630E" w:rsidRDefault="00000000">
            <w:r>
              <w:t>Category</w:t>
            </w:r>
          </w:p>
        </w:tc>
        <w:tc>
          <w:tcPr>
            <w:tcW w:w="2340" w:type="dxa"/>
            <w:shd w:val="clear" w:color="auto" w:fill="F2F2F2"/>
          </w:tcPr>
          <w:p w14:paraId="66E671C3" w14:textId="77777777" w:rsidR="005B630E" w:rsidRDefault="00000000">
            <w:r>
              <w:t>Tier</w:t>
            </w:r>
          </w:p>
        </w:tc>
        <w:tc>
          <w:tcPr>
            <w:tcW w:w="2340" w:type="dxa"/>
            <w:shd w:val="clear" w:color="auto" w:fill="F2F2F2"/>
          </w:tcPr>
          <w:p w14:paraId="31A73170" w14:textId="77777777" w:rsidR="005B630E" w:rsidRDefault="00000000">
            <w:r>
              <w:t>Data subjects</w:t>
            </w:r>
          </w:p>
        </w:tc>
        <w:tc>
          <w:tcPr>
            <w:tcW w:w="2340" w:type="dxa"/>
            <w:shd w:val="clear" w:color="auto" w:fill="F2F2F2"/>
          </w:tcPr>
          <w:p w14:paraId="762074B2" w14:textId="77777777" w:rsidR="005B630E" w:rsidRDefault="00000000">
            <w:r>
              <w:t>Fee (₦)</w:t>
            </w:r>
          </w:p>
        </w:tc>
      </w:tr>
      <w:tr w:rsidR="005B630E" w14:paraId="47F73E75" w14:textId="77777777">
        <w:tc>
          <w:tcPr>
            <w:tcW w:w="2340" w:type="dxa"/>
          </w:tcPr>
          <w:p w14:paraId="19565367" w14:textId="77777777" w:rsidR="005B630E" w:rsidRDefault="00000000">
            <w:r>
              <w:t>UHL</w:t>
            </w:r>
          </w:p>
        </w:tc>
        <w:tc>
          <w:tcPr>
            <w:tcW w:w="2340" w:type="dxa"/>
          </w:tcPr>
          <w:p w14:paraId="1FCA5F1A" w14:textId="77777777" w:rsidR="005B630E" w:rsidRDefault="00000000">
            <w:r>
              <w:t>A</w:t>
            </w:r>
          </w:p>
        </w:tc>
        <w:tc>
          <w:tcPr>
            <w:tcW w:w="2340" w:type="dxa"/>
          </w:tcPr>
          <w:p w14:paraId="31AF2344" w14:textId="77777777" w:rsidR="005B630E" w:rsidRDefault="00000000">
            <w:r>
              <w:t>50,000 and above</w:t>
            </w:r>
          </w:p>
        </w:tc>
        <w:tc>
          <w:tcPr>
            <w:tcW w:w="2340" w:type="dxa"/>
          </w:tcPr>
          <w:p w14:paraId="26E8B1BC" w14:textId="77777777" w:rsidR="005B630E" w:rsidRDefault="00000000">
            <w:r>
              <w:t>1,000,000</w:t>
            </w:r>
          </w:p>
        </w:tc>
      </w:tr>
      <w:tr w:rsidR="005B630E" w14:paraId="6331E81E" w14:textId="77777777">
        <w:tc>
          <w:tcPr>
            <w:tcW w:w="2340" w:type="dxa"/>
          </w:tcPr>
          <w:p w14:paraId="7323DB14" w14:textId="77777777" w:rsidR="005B630E" w:rsidRDefault="00000000">
            <w:r>
              <w:t>UHL</w:t>
            </w:r>
          </w:p>
        </w:tc>
        <w:tc>
          <w:tcPr>
            <w:tcW w:w="2340" w:type="dxa"/>
          </w:tcPr>
          <w:p w14:paraId="41988088" w14:textId="77777777" w:rsidR="005B630E" w:rsidRDefault="00000000">
            <w:r>
              <w:t>B</w:t>
            </w:r>
          </w:p>
        </w:tc>
        <w:tc>
          <w:tcPr>
            <w:tcW w:w="2340" w:type="dxa"/>
          </w:tcPr>
          <w:p w14:paraId="1287BB66" w14:textId="77777777" w:rsidR="005B630E" w:rsidRDefault="00000000">
            <w:r>
              <w:t>25,000–49,999</w:t>
            </w:r>
          </w:p>
        </w:tc>
        <w:tc>
          <w:tcPr>
            <w:tcW w:w="2340" w:type="dxa"/>
          </w:tcPr>
          <w:p w14:paraId="7C2CF14C" w14:textId="77777777" w:rsidR="005B630E" w:rsidRDefault="00000000">
            <w:r>
              <w:t>750,000</w:t>
            </w:r>
          </w:p>
        </w:tc>
      </w:tr>
      <w:tr w:rsidR="005B630E" w14:paraId="151B2BCB" w14:textId="77777777">
        <w:tc>
          <w:tcPr>
            <w:tcW w:w="2340" w:type="dxa"/>
          </w:tcPr>
          <w:p w14:paraId="0CA2BC51" w14:textId="77777777" w:rsidR="005B630E" w:rsidRDefault="00000000">
            <w:r>
              <w:t>UHL</w:t>
            </w:r>
          </w:p>
        </w:tc>
        <w:tc>
          <w:tcPr>
            <w:tcW w:w="2340" w:type="dxa"/>
          </w:tcPr>
          <w:p w14:paraId="5A1F14BD" w14:textId="77777777" w:rsidR="005B630E" w:rsidRDefault="00000000">
            <w:r>
              <w:t>C</w:t>
            </w:r>
          </w:p>
        </w:tc>
        <w:tc>
          <w:tcPr>
            <w:tcW w:w="2340" w:type="dxa"/>
          </w:tcPr>
          <w:p w14:paraId="756B8208" w14:textId="77777777" w:rsidR="005B630E" w:rsidRDefault="00000000">
            <w:r>
              <w:t>Below 25,000</w:t>
            </w:r>
          </w:p>
        </w:tc>
        <w:tc>
          <w:tcPr>
            <w:tcW w:w="2340" w:type="dxa"/>
          </w:tcPr>
          <w:p w14:paraId="386851E9" w14:textId="77777777" w:rsidR="005B630E" w:rsidRDefault="00000000">
            <w:r>
              <w:t>500,000</w:t>
            </w:r>
          </w:p>
        </w:tc>
      </w:tr>
      <w:tr w:rsidR="005B630E" w14:paraId="7FCBF7E9" w14:textId="77777777">
        <w:tc>
          <w:tcPr>
            <w:tcW w:w="2340" w:type="dxa"/>
          </w:tcPr>
          <w:p w14:paraId="4E6BBD8C" w14:textId="77777777" w:rsidR="005B630E" w:rsidRDefault="00000000">
            <w:r>
              <w:t>EHL</w:t>
            </w:r>
          </w:p>
        </w:tc>
        <w:tc>
          <w:tcPr>
            <w:tcW w:w="2340" w:type="dxa"/>
          </w:tcPr>
          <w:p w14:paraId="1653838C" w14:textId="77777777" w:rsidR="005B630E" w:rsidRDefault="00000000">
            <w:r>
              <w:t>A</w:t>
            </w:r>
          </w:p>
        </w:tc>
        <w:tc>
          <w:tcPr>
            <w:tcW w:w="2340" w:type="dxa"/>
          </w:tcPr>
          <w:p w14:paraId="1CEA439D" w14:textId="77777777" w:rsidR="005B630E" w:rsidRDefault="00000000">
            <w:r>
              <w:t>10,000 and above</w:t>
            </w:r>
          </w:p>
        </w:tc>
        <w:tc>
          <w:tcPr>
            <w:tcW w:w="2340" w:type="dxa"/>
          </w:tcPr>
          <w:p w14:paraId="6230A8E3" w14:textId="77777777" w:rsidR="005B630E" w:rsidRDefault="00000000">
            <w:r>
              <w:t>250,000</w:t>
            </w:r>
          </w:p>
        </w:tc>
      </w:tr>
      <w:tr w:rsidR="005B630E" w14:paraId="3A712E6F" w14:textId="77777777">
        <w:tc>
          <w:tcPr>
            <w:tcW w:w="2340" w:type="dxa"/>
          </w:tcPr>
          <w:p w14:paraId="4EF2919E" w14:textId="77777777" w:rsidR="005B630E" w:rsidRDefault="00000000">
            <w:r>
              <w:t>EHL</w:t>
            </w:r>
          </w:p>
        </w:tc>
        <w:tc>
          <w:tcPr>
            <w:tcW w:w="2340" w:type="dxa"/>
          </w:tcPr>
          <w:p w14:paraId="4AC92A7F" w14:textId="77777777" w:rsidR="005B630E" w:rsidRDefault="00000000">
            <w:r>
              <w:t>B</w:t>
            </w:r>
          </w:p>
        </w:tc>
        <w:tc>
          <w:tcPr>
            <w:tcW w:w="2340" w:type="dxa"/>
          </w:tcPr>
          <w:p w14:paraId="22702AA6" w14:textId="77777777" w:rsidR="005B630E" w:rsidRDefault="00000000">
            <w:r>
              <w:t>Between C and A</w:t>
            </w:r>
          </w:p>
        </w:tc>
        <w:tc>
          <w:tcPr>
            <w:tcW w:w="2340" w:type="dxa"/>
          </w:tcPr>
          <w:p w14:paraId="4420D3FB" w14:textId="77777777" w:rsidR="005B630E" w:rsidRDefault="00000000">
            <w:r>
              <w:t>200,000</w:t>
            </w:r>
          </w:p>
        </w:tc>
      </w:tr>
      <w:tr w:rsidR="005B630E" w14:paraId="67B06511" w14:textId="77777777">
        <w:tc>
          <w:tcPr>
            <w:tcW w:w="2340" w:type="dxa"/>
          </w:tcPr>
          <w:p w14:paraId="230F2188" w14:textId="77777777" w:rsidR="005B630E" w:rsidRDefault="00000000">
            <w:r>
              <w:t>EHL</w:t>
            </w:r>
          </w:p>
        </w:tc>
        <w:tc>
          <w:tcPr>
            <w:tcW w:w="2340" w:type="dxa"/>
          </w:tcPr>
          <w:p w14:paraId="168623A5" w14:textId="77777777" w:rsidR="005B630E" w:rsidRDefault="00000000">
            <w:r>
              <w:t>C</w:t>
            </w:r>
          </w:p>
        </w:tc>
        <w:tc>
          <w:tcPr>
            <w:tcW w:w="2340" w:type="dxa"/>
          </w:tcPr>
          <w:p w14:paraId="33121E20" w14:textId="77777777" w:rsidR="005B630E" w:rsidRDefault="00000000">
            <w:r>
              <w:t>Below 2,500</w:t>
            </w:r>
          </w:p>
        </w:tc>
        <w:tc>
          <w:tcPr>
            <w:tcW w:w="2340" w:type="dxa"/>
          </w:tcPr>
          <w:p w14:paraId="591A7968" w14:textId="77777777" w:rsidR="005B630E" w:rsidRDefault="00000000">
            <w:r>
              <w:t>100,000</w:t>
            </w:r>
          </w:p>
        </w:tc>
      </w:tr>
    </w:tbl>
    <w:p w14:paraId="752238A8" w14:textId="77777777" w:rsidR="005B630E" w:rsidRDefault="00000000">
      <w:r>
        <w:t>Missing the deadline is expensive:</w:t>
      </w:r>
    </w:p>
    <w:p w14:paraId="3CE46C0F" w14:textId="77777777" w:rsidR="005B630E" w:rsidRDefault="00000000">
      <w:pPr>
        <w:pStyle w:val="ListParagraph"/>
        <w:numPr>
          <w:ilvl w:val="0"/>
          <w:numId w:val="2"/>
        </w:numPr>
      </w:pPr>
      <w:r>
        <w:rPr>
          <w:b/>
        </w:rPr>
        <w:t>Late filing:</w:t>
      </w:r>
      <w:r>
        <w:t xml:space="preserve"> an extra administrative fee of up to 50% of the applicable filing fee.</w:t>
      </w:r>
    </w:p>
    <w:p w14:paraId="22124C00" w14:textId="77777777" w:rsidR="005B630E" w:rsidRDefault="00000000">
      <w:pPr>
        <w:pStyle w:val="ListParagraph"/>
        <w:numPr>
          <w:ilvl w:val="0"/>
          <w:numId w:val="2"/>
        </w:numPr>
      </w:pPr>
      <w:r>
        <w:rPr>
          <w:b/>
        </w:rPr>
        <w:t>Not filing:</w:t>
      </w:r>
      <w:r>
        <w:t xml:space="preserve"> a fine of up to 2% of the previous year's annual gross revenue or ₦10,000,000, whichever is greater, plus possible regulatory scrutiny.</w:t>
      </w:r>
    </w:p>
    <w:p w14:paraId="32FA5998" w14:textId="77777777" w:rsidR="005B630E" w:rsidRDefault="00000000">
      <w:r>
        <w:t>Always confirm current fees on the NDPC portal before quoting a client — the GAID revised them once already.</w:t>
      </w:r>
    </w:p>
    <w:p w14:paraId="494BDB88" w14:textId="77777777" w:rsidR="005B630E" w:rsidRDefault="00000000">
      <w:pPr>
        <w:pStyle w:val="Heading2"/>
      </w:pPr>
      <w:r>
        <w:t>What the CAR assesses</w:t>
      </w:r>
    </w:p>
    <w:p w14:paraId="7E31DCE6" w14:textId="77777777" w:rsidR="005B630E" w:rsidRDefault="00000000">
      <w:r>
        <w:t>The CAR follows the template in Schedule 2 of the GAID, which audits five areas. Build your evidence requests around them.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B630E" w14:paraId="0E514932" w14:textId="77777777">
        <w:trPr>
          <w:tblHeader/>
        </w:trPr>
        <w:tc>
          <w:tcPr>
            <w:tcW w:w="4680" w:type="dxa"/>
            <w:shd w:val="clear" w:color="auto" w:fill="F2F2F2"/>
          </w:tcPr>
          <w:p w14:paraId="59F4645B" w14:textId="77777777" w:rsidR="005B630E" w:rsidRDefault="00000000">
            <w:r>
              <w:t>Area</w:t>
            </w:r>
          </w:p>
        </w:tc>
        <w:tc>
          <w:tcPr>
            <w:tcW w:w="4680" w:type="dxa"/>
            <w:shd w:val="clear" w:color="auto" w:fill="F2F2F2"/>
          </w:tcPr>
          <w:p w14:paraId="0FBADA31" w14:textId="77777777" w:rsidR="005B630E" w:rsidRDefault="00000000">
            <w:r>
              <w:t>What to evidence (examples)</w:t>
            </w:r>
          </w:p>
        </w:tc>
      </w:tr>
      <w:tr w:rsidR="005B630E" w14:paraId="778DB639" w14:textId="77777777">
        <w:tc>
          <w:tcPr>
            <w:tcW w:w="4680" w:type="dxa"/>
          </w:tcPr>
          <w:p w14:paraId="5F71A9E7" w14:textId="77777777" w:rsidR="005B630E" w:rsidRDefault="00000000">
            <w:r>
              <w:t>1. Governance (people and process)</w:t>
            </w:r>
          </w:p>
        </w:tc>
        <w:tc>
          <w:tcPr>
            <w:tcW w:w="4680" w:type="dxa"/>
          </w:tcPr>
          <w:p w14:paraId="268FD93D" w14:textId="77777777" w:rsidR="005B630E" w:rsidRDefault="00000000">
            <w:r>
              <w:t>DPO appointment, data protection policies, staff training records, board or management oversight</w:t>
            </w:r>
          </w:p>
        </w:tc>
      </w:tr>
      <w:tr w:rsidR="005B630E" w14:paraId="6F57CC7A" w14:textId="77777777">
        <w:tc>
          <w:tcPr>
            <w:tcW w:w="4680" w:type="dxa"/>
          </w:tcPr>
          <w:p w14:paraId="1294AA56" w14:textId="77777777" w:rsidR="005B630E" w:rsidRDefault="00000000">
            <w:r>
              <w:t>2. Data security controls and standards</w:t>
            </w:r>
          </w:p>
        </w:tc>
        <w:tc>
          <w:tcPr>
            <w:tcW w:w="4680" w:type="dxa"/>
          </w:tcPr>
          <w:p w14:paraId="6C576202" w14:textId="77777777" w:rsidR="005B630E" w:rsidRDefault="00000000">
            <w:r>
              <w:t>Access controls, encryption, incident response plan, security certifications or test reports</w:t>
            </w:r>
          </w:p>
        </w:tc>
      </w:tr>
      <w:tr w:rsidR="005B630E" w14:paraId="7DCDCA52" w14:textId="77777777">
        <w:tc>
          <w:tcPr>
            <w:tcW w:w="4680" w:type="dxa"/>
          </w:tcPr>
          <w:p w14:paraId="164C57F0" w14:textId="77777777" w:rsidR="005B630E" w:rsidRDefault="00000000">
            <w:r>
              <w:t>3. Accountability and risk evaluation</w:t>
            </w:r>
          </w:p>
        </w:tc>
        <w:tc>
          <w:tcPr>
            <w:tcW w:w="4680" w:type="dxa"/>
          </w:tcPr>
          <w:p w14:paraId="09D65028" w14:textId="77777777" w:rsidR="005B630E" w:rsidRDefault="00000000">
            <w:r>
              <w:t>ROPA, DPIAs for high-risk processing, lawful basis records, DSAR log, breach register</w:t>
            </w:r>
          </w:p>
        </w:tc>
      </w:tr>
      <w:tr w:rsidR="005B630E" w14:paraId="78833C04" w14:textId="77777777">
        <w:tc>
          <w:tcPr>
            <w:tcW w:w="4680" w:type="dxa"/>
          </w:tcPr>
          <w:p w14:paraId="5AD7AA0B" w14:textId="77777777" w:rsidR="005B630E" w:rsidRDefault="00000000">
            <w:r>
              <w:t>4. Cross-border transfer</w:t>
            </w:r>
          </w:p>
        </w:tc>
        <w:tc>
          <w:tcPr>
            <w:tcW w:w="4680" w:type="dxa"/>
          </w:tcPr>
          <w:p w14:paraId="1EA34463" w14:textId="77777777" w:rsidR="005B630E" w:rsidRDefault="00000000">
            <w:r>
              <w:t xml:space="preserve">Transfer inventory, adequacy or safeguard basis </w:t>
            </w:r>
            <w:r>
              <w:lastRenderedPageBreak/>
              <w:t>for each transfer</w:t>
            </w:r>
          </w:p>
        </w:tc>
      </w:tr>
      <w:tr w:rsidR="005B630E" w14:paraId="6A39A2D3" w14:textId="77777777">
        <w:tc>
          <w:tcPr>
            <w:tcW w:w="4680" w:type="dxa"/>
          </w:tcPr>
          <w:p w14:paraId="5DA24C2E" w14:textId="77777777" w:rsidR="005B630E" w:rsidRDefault="00000000">
            <w:r>
              <w:lastRenderedPageBreak/>
              <w:t>5. Third-party data processors</w:t>
            </w:r>
          </w:p>
        </w:tc>
        <w:tc>
          <w:tcPr>
            <w:tcW w:w="4680" w:type="dxa"/>
          </w:tcPr>
          <w:p w14:paraId="36515BC0" w14:textId="77777777" w:rsidR="005B630E" w:rsidRDefault="00000000">
            <w:r>
              <w:t>Processor list, data processing agreements, due-diligence records</w:t>
            </w:r>
          </w:p>
        </w:tc>
      </w:tr>
    </w:tbl>
    <w:p w14:paraId="40285CD5" w14:textId="77777777" w:rsidR="005B630E" w:rsidRDefault="00000000">
      <w:r>
        <w:t>Evidence gaps usually cluster in areas 3 and 5. Clients often have policies but no DSAR log, no DPIAs, or no signed processing agreements with vendors.</w:t>
      </w:r>
    </w:p>
    <w:p w14:paraId="677E2B99" w14:textId="77777777" w:rsidR="005B630E" w:rsidRDefault="00000000">
      <w:pPr>
        <w:pStyle w:val="Heading2"/>
      </w:pPr>
      <w:r>
        <w:t>Running a CAR engagement, step by step</w:t>
      </w:r>
    </w:p>
    <w:p w14:paraId="6E5B6CB6" w14:textId="77777777" w:rsidR="005B630E" w:rsidRDefault="00000000">
      <w:r>
        <w:t>Start in Q4, not in March. A 10–</w:t>
      </w:r>
      <w:proofErr w:type="gramStart"/>
      <w:r>
        <w:t>12 week</w:t>
      </w:r>
      <w:proofErr w:type="gramEnd"/>
      <w:r>
        <w:t xml:space="preserve"> runway per client keeps your team out of the deadline crush.</w:t>
      </w:r>
    </w:p>
    <w:p w14:paraId="4466840B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Confirm the category (October–November).</w:t>
      </w:r>
      <w:r>
        <w:t xml:space="preserve"> Check sector and data-subject volume. Agree the tier and fee with the client in writing.</w:t>
      </w:r>
    </w:p>
    <w:p w14:paraId="2BE472A3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Scope and sign the engagement.</w:t>
      </w:r>
      <w:r>
        <w:t xml:space="preserve"> Define deliverables, client contacts, evidence deadlines and sign-off authority.</w:t>
      </w:r>
    </w:p>
    <w:p w14:paraId="760EAC7B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Send a structured evidence request.</w:t>
      </w:r>
      <w:r>
        <w:t xml:space="preserve"> One checklist per Schedule 2 area, with an owner and due date per item. Avoid scattered email and WhatsApp requests.</w:t>
      </w:r>
    </w:p>
    <w:p w14:paraId="2BFBDFA6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Collect and review evidence.</w:t>
      </w:r>
      <w:r>
        <w:t xml:space="preserve"> Track each item as received, reviewed, or gap. Chase gaps weekly.</w:t>
      </w:r>
    </w:p>
    <w:p w14:paraId="78BFAB9B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Run the gap analysis.</w:t>
      </w:r>
      <w:r>
        <w:t xml:space="preserve"> Score each area, flag non-compliance, and agree remediation the client can complete before filing.</w:t>
      </w:r>
    </w:p>
    <w:p w14:paraId="6C276460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Draft the CAR report.</w:t>
      </w:r>
      <w:r>
        <w:t xml:space="preserve"> Use the Schedule 2 template. Keep a reference from every finding to its evidence.</w:t>
      </w:r>
    </w:p>
    <w:p w14:paraId="3E429583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Client review and sign-off.</w:t>
      </w:r>
      <w:r>
        <w:t xml:space="preserve"> Get written approval from the client's </w:t>
      </w:r>
      <w:proofErr w:type="spellStart"/>
      <w:r>
        <w:t>authorised</w:t>
      </w:r>
      <w:proofErr w:type="spellEnd"/>
      <w:r>
        <w:t xml:space="preserve"> signatory before submission.</w:t>
      </w:r>
    </w:p>
    <w:p w14:paraId="1B6E85F4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File on the NDPC portal and pay.</w:t>
      </w:r>
      <w:r>
        <w:t xml:space="preserve"> Save the filing confirmation and payment receipt in the client file.</w:t>
      </w:r>
    </w:p>
    <w:p w14:paraId="7A15A06D" w14:textId="77777777" w:rsidR="005B630E" w:rsidRDefault="00000000">
      <w:pPr>
        <w:pStyle w:val="ListParagraph"/>
        <w:numPr>
          <w:ilvl w:val="0"/>
          <w:numId w:val="3"/>
        </w:numPr>
      </w:pPr>
      <w:r>
        <w:rPr>
          <w:b/>
        </w:rPr>
        <w:t>Hand over a remediation plan.</w:t>
      </w:r>
      <w:r>
        <w:t xml:space="preserve"> Open items become next year's starting point — and your retainer conversation.</w:t>
      </w:r>
    </w:p>
    <w:p w14:paraId="2AB87E0B" w14:textId="77777777" w:rsidR="005B630E" w:rsidRDefault="00000000">
      <w:pPr>
        <w:pStyle w:val="Heading2"/>
      </w:pPr>
      <w:r>
        <w:t>Common CAR mistakes</w:t>
      </w:r>
    </w:p>
    <w:p w14:paraId="02C83CFF" w14:textId="77777777" w:rsidR="005B630E" w:rsidRDefault="00000000">
      <w:pPr>
        <w:pStyle w:val="ListParagraph"/>
        <w:numPr>
          <w:ilvl w:val="0"/>
          <w:numId w:val="4"/>
        </w:numPr>
      </w:pPr>
      <w:r>
        <w:rPr>
          <w:b/>
        </w:rPr>
        <w:t>Using last year's category.</w:t>
      </w:r>
      <w:r>
        <w:t xml:space="preserve"> Data-subject volumes grow; re-check every year.</w:t>
      </w:r>
    </w:p>
    <w:p w14:paraId="56D8C3AC" w14:textId="77777777" w:rsidR="005B630E" w:rsidRDefault="00000000">
      <w:pPr>
        <w:pStyle w:val="ListParagraph"/>
        <w:numPr>
          <w:ilvl w:val="0"/>
          <w:numId w:val="4"/>
        </w:numPr>
      </w:pPr>
      <w:r>
        <w:rPr>
          <w:b/>
        </w:rPr>
        <w:t>Starting in March.</w:t>
      </w:r>
      <w:r>
        <w:t xml:space="preserve"> Evidence collection alone takes weeks per client.</w:t>
      </w:r>
    </w:p>
    <w:p w14:paraId="54D790CD" w14:textId="77777777" w:rsidR="005B630E" w:rsidRDefault="00000000">
      <w:pPr>
        <w:pStyle w:val="ListParagraph"/>
        <w:numPr>
          <w:ilvl w:val="0"/>
          <w:numId w:val="4"/>
        </w:numPr>
      </w:pPr>
      <w:r>
        <w:rPr>
          <w:b/>
        </w:rPr>
        <w:t>Policies without proof.</w:t>
      </w:r>
      <w:r>
        <w:t xml:space="preserve"> A policy document is not evidence it is followed. Ask for logs, records and signed agreements.</w:t>
      </w:r>
    </w:p>
    <w:p w14:paraId="6CDAE7DB" w14:textId="77777777" w:rsidR="005B630E" w:rsidRDefault="00000000">
      <w:pPr>
        <w:pStyle w:val="ListParagraph"/>
        <w:numPr>
          <w:ilvl w:val="0"/>
          <w:numId w:val="4"/>
        </w:numPr>
      </w:pPr>
      <w:r>
        <w:rPr>
          <w:b/>
        </w:rPr>
        <w:t>Ignoring processors.</w:t>
      </w:r>
      <w:r>
        <w:t xml:space="preserve"> Vendor contracts and due diligence are a full assessment area, not a footnote.</w:t>
      </w:r>
    </w:p>
    <w:p w14:paraId="24FD9F2B" w14:textId="77777777" w:rsidR="005B630E" w:rsidRDefault="00000000">
      <w:pPr>
        <w:pStyle w:val="ListParagraph"/>
        <w:numPr>
          <w:ilvl w:val="0"/>
          <w:numId w:val="4"/>
        </w:numPr>
      </w:pPr>
      <w:r>
        <w:rPr>
          <w:b/>
        </w:rPr>
        <w:t>No audit trail.</w:t>
      </w:r>
      <w:r>
        <w:t xml:space="preserve"> If a finding cannot be traced to evidence, it will not survive NDPC questions.</w:t>
      </w:r>
    </w:p>
    <w:p w14:paraId="30CFE999" w14:textId="77777777" w:rsidR="005B630E" w:rsidRDefault="00000000">
      <w:pPr>
        <w:pStyle w:val="ListParagraph"/>
        <w:numPr>
          <w:ilvl w:val="0"/>
          <w:numId w:val="4"/>
        </w:numPr>
      </w:pPr>
      <w:r>
        <w:rPr>
          <w:b/>
        </w:rPr>
        <w:t>Informal sign-off.</w:t>
      </w:r>
      <w:r>
        <w:t xml:space="preserve"> A WhatsApp "okay" is not client approval. Get it in writing from the </w:t>
      </w:r>
      <w:proofErr w:type="spellStart"/>
      <w:r>
        <w:t>authorised</w:t>
      </w:r>
      <w:proofErr w:type="spellEnd"/>
      <w:r>
        <w:t xml:space="preserve"> signatory.</w:t>
      </w:r>
    </w:p>
    <w:p w14:paraId="3341562B" w14:textId="77777777" w:rsidR="005B630E" w:rsidRDefault="00000000">
      <w:pPr>
        <w:pStyle w:val="Heading2"/>
      </w:pPr>
      <w:r>
        <w:lastRenderedPageBreak/>
        <w:t>How DPO Copilot helps</w:t>
      </w:r>
    </w:p>
    <w:p w14:paraId="6C938350" w14:textId="77777777" w:rsidR="005B630E" w:rsidRDefault="00000000">
      <w:r>
        <w:t>DPO Copilot turns this process into a structured workspace for DPCO teams. Each client gets a CAR readiness checklist built on the five Schedule 2 areas, an evidence portal clients upload to directly, and a sign-off flow with a proper signature.</w:t>
      </w:r>
    </w:p>
    <w:p w14:paraId="72219024" w14:textId="77777777" w:rsidR="005B630E" w:rsidRDefault="00000000">
      <w:r>
        <w:t>The AI copilot drafts report sections from collected evidence, flags gaps against the NDPA, and answers regulatory questions with citations. Your consultants review and approve everything — and all data, including AI processing, stays in Nigeria.</w:t>
      </w:r>
    </w:p>
    <w:p w14:paraId="0CA3AD7E" w14:textId="77777777" w:rsidR="005B630E" w:rsidRDefault="00000000">
      <w:r>
        <w:rPr>
          <w:b/>
        </w:rPr>
        <w:t>[Join the DPO Copilot waitlist →]</w:t>
      </w:r>
      <w:r>
        <w:t xml:space="preserve"> </w:t>
      </w:r>
      <w:r>
        <w:rPr>
          <w:i/>
        </w:rPr>
        <w:t>(link to waitlist page)</w:t>
      </w:r>
    </w:p>
    <w:p w14:paraId="7E436A59" w14:textId="77777777" w:rsidR="005B630E" w:rsidRDefault="00000000">
      <w:pPr>
        <w:pStyle w:val="Heading2"/>
      </w:pPr>
      <w:r>
        <w:t>FAQ</w:t>
      </w:r>
    </w:p>
    <w:p w14:paraId="7B53E5A5" w14:textId="77777777" w:rsidR="005B630E" w:rsidRDefault="00000000">
      <w:r>
        <w:rPr>
          <w:b/>
        </w:rPr>
        <w:t xml:space="preserve">Can an </w:t>
      </w: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 file its own CAR?</w:t>
      </w:r>
      <w:r>
        <w:t xml:space="preserve"> No. The CAR is filed on the NDPC portal by a licensed DPCO acting for the </w:t>
      </w:r>
      <w:proofErr w:type="spellStart"/>
      <w:r>
        <w:t>organisation</w:t>
      </w:r>
      <w:proofErr w:type="spellEnd"/>
      <w:r>
        <w:t>.</w:t>
      </w:r>
    </w:p>
    <w:p w14:paraId="5C9DDAF5" w14:textId="77777777" w:rsidR="005B630E" w:rsidRDefault="00000000">
      <w:r>
        <w:rPr>
          <w:b/>
        </w:rPr>
        <w:t>When is the next CAR due?</w:t>
      </w:r>
      <w:r>
        <w:t xml:space="preserve"> On or before 31 March 2027, covering 2026 processing, unless the NDPC announces an extension.</w:t>
      </w:r>
    </w:p>
    <w:p w14:paraId="2EE5D820" w14:textId="77777777" w:rsidR="005B630E" w:rsidRDefault="00000000">
      <w:r>
        <w:rPr>
          <w:b/>
        </w:rPr>
        <w:t xml:space="preserve">Does every </w:t>
      </w: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 need to file?</w:t>
      </w:r>
      <w:r>
        <w:t xml:space="preserve"> No. Only UHL and EHL </w:t>
      </w:r>
      <w:proofErr w:type="spellStart"/>
      <w:r>
        <w:t>organisations</w:t>
      </w:r>
      <w:proofErr w:type="spellEnd"/>
      <w:r>
        <w:t xml:space="preserve"> file a CAR, though all </w:t>
      </w:r>
      <w:proofErr w:type="spellStart"/>
      <w:r>
        <w:t>organisations</w:t>
      </w:r>
      <w:proofErr w:type="spellEnd"/>
      <w:r>
        <w:t xml:space="preserve"> covered by the NDPA must comply with it.</w:t>
      </w:r>
    </w:p>
    <w:p w14:paraId="42A1056A" w14:textId="77777777" w:rsidR="005B630E" w:rsidRDefault="00000000">
      <w:r>
        <w:rPr>
          <w:b/>
        </w:rPr>
        <w:t>What happens if we file late?</w:t>
      </w:r>
      <w:r>
        <w:t xml:space="preserve"> An extra fee of up to 50% of the filing fee. Not filing at all can mean a fine of up to 2% of annual gross revenue or ₦10 million, whichever is greater.</w:t>
      </w:r>
    </w:p>
    <w:p w14:paraId="3659796B" w14:textId="77777777" w:rsidR="005B630E" w:rsidRDefault="00000000">
      <w:r>
        <w:rPr>
          <w:b/>
        </w:rPr>
        <w:t>What template does the CAR use?</w:t>
      </w:r>
      <w:r>
        <w:t xml:space="preserve"> The template in Schedule 2 of the GAID 2025, covering governance, security, accountability and risk, cross-border transfer, and third-party processors.</w:t>
      </w:r>
    </w:p>
    <w:p w14:paraId="2193C368" w14:textId="77777777" w:rsidR="005B630E" w:rsidRDefault="00000000">
      <w:pPr>
        <w:pStyle w:val="Heading2"/>
      </w:pPr>
      <w:r>
        <w:t>Sources</w:t>
      </w:r>
    </w:p>
    <w:p w14:paraId="3CBC35D6" w14:textId="77777777" w:rsidR="005B630E" w:rsidRDefault="00000000">
      <w:pPr>
        <w:pStyle w:val="ListParagraph"/>
        <w:numPr>
          <w:ilvl w:val="0"/>
          <w:numId w:val="5"/>
        </w:numPr>
      </w:pPr>
      <w:hyperlink r:id="rId5" w:history="1">
        <w:r>
          <w:rPr>
            <w:rStyle w:val="Hyperlink"/>
          </w:rPr>
          <w:t>Templars — Data Protection Compliance in Nigeria: Audit Return Obligations for 2026</w:t>
        </w:r>
      </w:hyperlink>
      <w:r>
        <w:t xml:space="preserve"> (categories, fees, penalties, Schedule 2 areas)</w:t>
      </w:r>
    </w:p>
    <w:p w14:paraId="1B6A3068" w14:textId="77777777" w:rsidR="005B630E" w:rsidRDefault="00000000"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 xml:space="preserve">Pavestones Legal via </w:t>
        </w:r>
        <w:proofErr w:type="spellStart"/>
        <w:r>
          <w:rPr>
            <w:rStyle w:val="Hyperlink"/>
          </w:rPr>
          <w:t>Mondaq</w:t>
        </w:r>
        <w:proofErr w:type="spellEnd"/>
        <w:r>
          <w:rPr>
            <w:rStyle w:val="Hyperlink"/>
          </w:rPr>
          <w:t xml:space="preserve"> — NDPC Extends Data Audit Filing Deadline</w:t>
        </w:r>
      </w:hyperlink>
      <w:r>
        <w:t xml:space="preserve"> (30 May 2026 extension)</w:t>
      </w:r>
    </w:p>
    <w:p w14:paraId="53CFBB34" w14:textId="77777777" w:rsidR="005B630E" w:rsidRDefault="00000000">
      <w:r>
        <w:t>Verify fees and deadlines against the GAID and NDPC portal before publishing.</w:t>
      </w:r>
    </w:p>
    <w:sectPr w:rsidR="005B63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A1E"/>
    <w:multiLevelType w:val="hybridMultilevel"/>
    <w:tmpl w:val="9EFCAF58"/>
    <w:lvl w:ilvl="0" w:tplc="3F4CCBB6">
      <w:start w:val="1"/>
      <w:numFmt w:val="bullet"/>
      <w:lvlText w:val="•"/>
      <w:lvlJc w:val="left"/>
      <w:pPr>
        <w:ind w:left="720" w:hanging="360"/>
      </w:pPr>
    </w:lvl>
    <w:lvl w:ilvl="1" w:tplc="7D7A592A">
      <w:start w:val="1"/>
      <w:numFmt w:val="bullet"/>
      <w:lvlText w:val="o"/>
      <w:lvlJc w:val="left"/>
      <w:pPr>
        <w:ind w:left="1440" w:hanging="360"/>
      </w:pPr>
    </w:lvl>
    <w:lvl w:ilvl="2" w:tplc="074C2E02">
      <w:start w:val="1"/>
      <w:numFmt w:val="bullet"/>
      <w:lvlText w:val="▪"/>
      <w:lvlJc w:val="left"/>
      <w:pPr>
        <w:ind w:left="2160" w:hanging="360"/>
      </w:pPr>
    </w:lvl>
    <w:lvl w:ilvl="3" w:tplc="4D7844B4">
      <w:start w:val="1"/>
      <w:numFmt w:val="bullet"/>
      <w:lvlText w:val="•"/>
      <w:lvlJc w:val="left"/>
      <w:pPr>
        <w:ind w:left="2880" w:hanging="360"/>
      </w:pPr>
    </w:lvl>
    <w:lvl w:ilvl="4" w:tplc="3F68DB82">
      <w:start w:val="1"/>
      <w:numFmt w:val="bullet"/>
      <w:lvlText w:val="o"/>
      <w:lvlJc w:val="left"/>
      <w:pPr>
        <w:ind w:left="3600" w:hanging="360"/>
      </w:pPr>
    </w:lvl>
    <w:lvl w:ilvl="5" w:tplc="A210CE70">
      <w:start w:val="1"/>
      <w:numFmt w:val="bullet"/>
      <w:lvlText w:val="▪"/>
      <w:lvlJc w:val="left"/>
      <w:pPr>
        <w:ind w:left="4320" w:hanging="360"/>
      </w:pPr>
    </w:lvl>
    <w:lvl w:ilvl="6" w:tplc="2E92FA6A">
      <w:start w:val="1"/>
      <w:numFmt w:val="bullet"/>
      <w:lvlText w:val="•"/>
      <w:lvlJc w:val="left"/>
      <w:pPr>
        <w:ind w:left="5040" w:hanging="360"/>
      </w:pPr>
    </w:lvl>
    <w:lvl w:ilvl="7" w:tplc="50BA7FA4">
      <w:start w:val="1"/>
      <w:numFmt w:val="bullet"/>
      <w:lvlText w:val="o"/>
      <w:lvlJc w:val="left"/>
      <w:pPr>
        <w:ind w:left="5760" w:hanging="360"/>
      </w:pPr>
    </w:lvl>
    <w:lvl w:ilvl="8" w:tplc="24AADA3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6805F58"/>
    <w:multiLevelType w:val="hybridMultilevel"/>
    <w:tmpl w:val="DF4A93EE"/>
    <w:lvl w:ilvl="0" w:tplc="8820D762">
      <w:start w:val="1"/>
      <w:numFmt w:val="decimal"/>
      <w:lvlText w:val="%1."/>
      <w:lvlJc w:val="left"/>
      <w:pPr>
        <w:ind w:left="720" w:hanging="360"/>
      </w:pPr>
    </w:lvl>
    <w:lvl w:ilvl="1" w:tplc="62303920">
      <w:start w:val="1"/>
      <w:numFmt w:val="lowerLetter"/>
      <w:lvlText w:val="%2."/>
      <w:lvlJc w:val="left"/>
      <w:pPr>
        <w:ind w:left="1440" w:hanging="360"/>
      </w:pPr>
    </w:lvl>
    <w:lvl w:ilvl="2" w:tplc="FB3CDECA">
      <w:start w:val="1"/>
      <w:numFmt w:val="lowerRoman"/>
      <w:lvlText w:val="%3."/>
      <w:lvlJc w:val="left"/>
      <w:pPr>
        <w:ind w:left="2160" w:hanging="360"/>
      </w:pPr>
    </w:lvl>
    <w:lvl w:ilvl="3" w:tplc="7D607226">
      <w:start w:val="1"/>
      <w:numFmt w:val="decimal"/>
      <w:lvlText w:val="%4."/>
      <w:lvlJc w:val="left"/>
      <w:pPr>
        <w:ind w:left="2880" w:hanging="360"/>
      </w:pPr>
    </w:lvl>
    <w:lvl w:ilvl="4" w:tplc="ACA4B74A">
      <w:start w:val="1"/>
      <w:numFmt w:val="lowerLetter"/>
      <w:lvlText w:val="%5."/>
      <w:lvlJc w:val="left"/>
      <w:pPr>
        <w:ind w:left="3600" w:hanging="360"/>
      </w:pPr>
    </w:lvl>
    <w:lvl w:ilvl="5" w:tplc="FF68DD84">
      <w:start w:val="1"/>
      <w:numFmt w:val="lowerRoman"/>
      <w:lvlText w:val="%6."/>
      <w:lvlJc w:val="left"/>
      <w:pPr>
        <w:ind w:left="4320" w:hanging="360"/>
      </w:pPr>
    </w:lvl>
    <w:lvl w:ilvl="6" w:tplc="96B40D84">
      <w:start w:val="1"/>
      <w:numFmt w:val="decimal"/>
      <w:lvlText w:val="%7."/>
      <w:lvlJc w:val="left"/>
      <w:pPr>
        <w:ind w:left="5040" w:hanging="360"/>
      </w:pPr>
    </w:lvl>
    <w:lvl w:ilvl="7" w:tplc="EB46840A">
      <w:start w:val="1"/>
      <w:numFmt w:val="lowerLetter"/>
      <w:lvlText w:val="%8."/>
      <w:lvlJc w:val="left"/>
      <w:pPr>
        <w:ind w:left="5760" w:hanging="360"/>
      </w:pPr>
    </w:lvl>
    <w:lvl w:ilvl="8" w:tplc="13BC5C04">
      <w:start w:val="1"/>
      <w:numFmt w:val="lowerRoman"/>
      <w:lvlText w:val="%9."/>
      <w:lvlJc w:val="left"/>
      <w:pPr>
        <w:ind w:left="6480" w:hanging="360"/>
      </w:pPr>
    </w:lvl>
  </w:abstractNum>
  <w:num w:numId="1" w16cid:durableId="35738573">
    <w:abstractNumId w:val="0"/>
  </w:num>
  <w:num w:numId="2" w16cid:durableId="1282764393">
    <w:abstractNumId w:val="0"/>
  </w:num>
  <w:num w:numId="3" w16cid:durableId="262811566">
    <w:abstractNumId w:val="1"/>
    <w:lvlOverride w:ilvl="0">
      <w:startOverride w:val="1"/>
    </w:lvlOverride>
  </w:num>
  <w:num w:numId="4" w16cid:durableId="312412552">
    <w:abstractNumId w:val="0"/>
  </w:num>
  <w:num w:numId="5" w16cid:durableId="1372607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0E"/>
    <w:rsid w:val="005B630E"/>
    <w:rsid w:val="00632217"/>
    <w:rsid w:val="0099229B"/>
    <w:rsid w:val="00B8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43B4"/>
  <w15:docId w15:val="{1F472736-C455-45DF-83A8-02E07DF8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daq.com/nigeria/privacy-protection/1770448/regulatory-update-ndpc-extends-data-audit-filing-deadline" TargetMode="External"/><Relationship Id="rId5" Type="http://schemas.openxmlformats.org/officeDocument/2006/relationships/hyperlink" Target="https://www.templars-law.com/app/uploads/2026/01/Client-Alert-Data-Protection-Compliance-in-Nigeria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DPCO's Guide to Filing a Compliance Audit Return (CAR) Under the NDPA and GA</vt:lpstr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DPCO's Guide to Filing a Compliance Audit Return (CAR) Under the NDPA and GA</dc:title>
  <dc:subject/>
  <dc:creator>Victoria Uduma</dc:creator>
  <cp:keywords/>
  <dc:description/>
  <cp:lastModifiedBy>Victoria Uduma</cp:lastModifiedBy>
  <cp:revision>1</cp:revision>
  <dcterms:created xsi:type="dcterms:W3CDTF">2026-10-06T23:44:00Z</dcterms:created>
  <dcterms:modified xsi:type="dcterms:W3CDTF">2026-10-07T13:26:00Z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f5461a757998765ce18ddf367d07f12bcd25922f829c8b12a12ec41229afe9f1</vt:lpwstr>
  </property>
</Properties>
</file>