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5CC00" w14:textId="77777777" w:rsidR="007B1862" w:rsidRDefault="00000000">
      <w:pPr>
        <w:pStyle w:val="Heading1"/>
      </w:pPr>
      <w:r>
        <w:t>CAR Readiness Checklist: NDPA Compliance Audit Return Prep for DPCOs</w:t>
      </w:r>
    </w:p>
    <w:p w14:paraId="5698A747" w14:textId="77777777" w:rsidR="007B1862" w:rsidRDefault="00000000">
      <w:pPr>
        <w:pStyle w:val="Heading2"/>
      </w:pPr>
      <w:r>
        <w:t>Why this NDPA audit checklist exists</w:t>
      </w:r>
    </w:p>
    <w:p w14:paraId="395627A9" w14:textId="77777777" w:rsidR="007B1862" w:rsidRDefault="00000000">
      <w:r>
        <w:t>Most CAR delays aren't legal problems. They're evidence problems. The policy exists, but the DSAR log doesn't. The vendor is real, but the processing agreement was never signed.</w:t>
      </w:r>
    </w:p>
    <w:p w14:paraId="393C4235" w14:textId="77777777" w:rsidR="007B1862" w:rsidRDefault="00000000">
      <w:r>
        <w:t>This checklist turns the Compliance Audit Return into evidence you can request, check and close — one client at a time, well before the 31 March deadline. It follows the five assessment areas in GAID Schedule 2, plus the steps before and after them.</w:t>
      </w:r>
    </w:p>
    <w:p w14:paraId="57C4AD7D" w14:textId="77777777" w:rsidR="007B1862" w:rsidRDefault="00000000">
      <w:r>
        <w:rPr>
          <w:b/>
        </w:rPr>
        <w:t>How to use it</w:t>
      </w:r>
    </w:p>
    <w:p w14:paraId="2F408421" w14:textId="77777777" w:rsidR="007B1862" w:rsidRDefault="00000000">
      <w:pPr>
        <w:pStyle w:val="ListParagraph"/>
        <w:numPr>
          <w:ilvl w:val="0"/>
          <w:numId w:val="2"/>
        </w:numPr>
      </w:pPr>
      <w:r>
        <w:rPr>
          <w:b/>
        </w:rPr>
        <w:t>Run one copy per client.</w:t>
      </w:r>
      <w:r>
        <w:t xml:space="preserve"> Export this page as a PDF, or copy the lists into your tracker.</w:t>
      </w:r>
    </w:p>
    <w:p w14:paraId="5919B928" w14:textId="77777777" w:rsidR="007B1862" w:rsidRDefault="00000000">
      <w:pPr>
        <w:pStyle w:val="ListParagraph"/>
        <w:numPr>
          <w:ilvl w:val="0"/>
          <w:numId w:val="2"/>
        </w:numPr>
      </w:pPr>
      <w:r>
        <w:rPr>
          <w:b/>
        </w:rPr>
        <w:t>Tick only what has evidence.</w:t>
      </w:r>
      <w:r>
        <w:t xml:space="preserve"> A policy document without proof it is followed stays unticked.</w:t>
      </w:r>
    </w:p>
    <w:p w14:paraId="4AE12532" w14:textId="77777777" w:rsidR="007B1862" w:rsidRDefault="00000000">
      <w:pPr>
        <w:pStyle w:val="ListParagraph"/>
        <w:numPr>
          <w:ilvl w:val="0"/>
          <w:numId w:val="2"/>
        </w:numPr>
      </w:pPr>
      <w:r>
        <w:rPr>
          <w:b/>
        </w:rPr>
        <w:t>Mark each item Ready, Partial or Gap</w:t>
      </w:r>
      <w:r>
        <w:t>, and give every Partial or Gap an owner and a due date.</w:t>
      </w:r>
    </w:p>
    <w:p w14:paraId="3A5CDE0F" w14:textId="77777777" w:rsidR="007B1862" w:rsidRDefault="00000000">
      <w:pPr>
        <w:pStyle w:val="ListParagraph"/>
        <w:numPr>
          <w:ilvl w:val="0"/>
          <w:numId w:val="2"/>
        </w:numPr>
      </w:pPr>
      <w:r>
        <w:rPr>
          <w:b/>
        </w:rPr>
        <w:t>Start in Q4.</w:t>
      </w:r>
      <w:r>
        <w:t xml:space="preserve"> Evidence collection takes weeks per client.</w:t>
      </w:r>
    </w:p>
    <w:p w14:paraId="17BFB8B3" w14:textId="77777777" w:rsidR="007B1862" w:rsidRDefault="00000000">
      <w:pPr>
        <w:pStyle w:val="Heading2"/>
      </w:pPr>
      <w:r>
        <w:t>Before you start: category and scope</w:t>
      </w:r>
    </w:p>
    <w:p w14:paraId="311D56F0" w14:textId="77777777" w:rsidR="007B1862" w:rsidRDefault="00000000">
      <w:pPr>
        <w:pStyle w:val="ListParagraph"/>
        <w:numPr>
          <w:ilvl w:val="0"/>
          <w:numId w:val="3"/>
        </w:numPr>
      </w:pPr>
      <w:r>
        <w:t>☐ Client's category confirmed as UHL or EHL, based on sector and data subjects processed in six months</w:t>
      </w:r>
    </w:p>
    <w:p w14:paraId="4D9CF999" w14:textId="77777777" w:rsidR="007B1862" w:rsidRDefault="00000000">
      <w:pPr>
        <w:pStyle w:val="ListParagraph"/>
        <w:numPr>
          <w:ilvl w:val="0"/>
          <w:numId w:val="3"/>
        </w:numPr>
      </w:pPr>
      <w:r>
        <w:t>☐ Fee tier agreed with the client in writing</w:t>
      </w:r>
    </w:p>
    <w:p w14:paraId="1A203634" w14:textId="77777777" w:rsidR="007B1862" w:rsidRDefault="00000000">
      <w:pPr>
        <w:pStyle w:val="ListParagraph"/>
        <w:numPr>
          <w:ilvl w:val="0"/>
          <w:numId w:val="3"/>
        </w:numPr>
      </w:pPr>
      <w:r>
        <w:t>☐ Client's NDPC registration is current</w:t>
      </w:r>
    </w:p>
    <w:p w14:paraId="60CC37A3" w14:textId="77777777" w:rsidR="007B1862" w:rsidRDefault="00000000">
      <w:pPr>
        <w:pStyle w:val="ListParagraph"/>
        <w:numPr>
          <w:ilvl w:val="0"/>
          <w:numId w:val="3"/>
        </w:numPr>
      </w:pPr>
      <w:r>
        <w:t>☐ Client contacts, evidence deadlines and sign-off authority agreed</w:t>
      </w:r>
    </w:p>
    <w:p w14:paraId="157F64C0" w14:textId="77777777" w:rsidR="007B1862" w:rsidRDefault="00000000">
      <w:pPr>
        <w:pStyle w:val="ListParagraph"/>
        <w:numPr>
          <w:ilvl w:val="0"/>
          <w:numId w:val="3"/>
        </w:numPr>
      </w:pPr>
      <w:r>
        <w:t>☐ Last year's CAR and open remediation items collected</w:t>
      </w:r>
    </w:p>
    <w:p w14:paraId="5348C8E1" w14:textId="77777777" w:rsidR="007B1862" w:rsidRDefault="00000000">
      <w:pPr>
        <w:pStyle w:val="Heading2"/>
      </w:pPr>
      <w:r>
        <w:t>Area 1: Governance</w:t>
      </w:r>
    </w:p>
    <w:p w14:paraId="2A4F433F" w14:textId="77777777" w:rsidR="007B1862" w:rsidRDefault="00000000">
      <w:pPr>
        <w:pStyle w:val="ListParagraph"/>
        <w:numPr>
          <w:ilvl w:val="0"/>
          <w:numId w:val="4"/>
        </w:numPr>
      </w:pPr>
      <w:r>
        <w:t>☐ Data Protection Officer appointed, with name, contact and reporting line documented</w:t>
      </w:r>
    </w:p>
    <w:p w14:paraId="3DD383C1" w14:textId="77777777" w:rsidR="007B1862" w:rsidRDefault="00000000">
      <w:pPr>
        <w:pStyle w:val="ListParagraph"/>
        <w:numPr>
          <w:ilvl w:val="0"/>
          <w:numId w:val="4"/>
        </w:numPr>
      </w:pPr>
      <w:r>
        <w:t>☐ DPO training or qualification records on file</w:t>
      </w:r>
    </w:p>
    <w:p w14:paraId="767261F8" w14:textId="77777777" w:rsidR="007B1862" w:rsidRDefault="00000000">
      <w:pPr>
        <w:pStyle w:val="ListParagraph"/>
        <w:numPr>
          <w:ilvl w:val="0"/>
          <w:numId w:val="4"/>
        </w:numPr>
      </w:pPr>
      <w:r>
        <w:t>☐ Data protection policy approved by management or the board</w:t>
      </w:r>
    </w:p>
    <w:p w14:paraId="1D2565A6" w14:textId="77777777" w:rsidR="007B1862" w:rsidRDefault="00000000">
      <w:pPr>
        <w:pStyle w:val="ListParagraph"/>
        <w:numPr>
          <w:ilvl w:val="0"/>
          <w:numId w:val="4"/>
        </w:numPr>
      </w:pPr>
      <w:r>
        <w:t>☐ Privacy notice published wherever data is collected (website, apps, forms)</w:t>
      </w:r>
    </w:p>
    <w:p w14:paraId="3EB96334" w14:textId="77777777" w:rsidR="007B1862" w:rsidRDefault="00000000">
      <w:pPr>
        <w:pStyle w:val="ListParagraph"/>
        <w:numPr>
          <w:ilvl w:val="0"/>
          <w:numId w:val="4"/>
        </w:numPr>
      </w:pPr>
      <w:r>
        <w:t>☐ Staff data protection training delivered this year, with attendance records</w:t>
      </w:r>
    </w:p>
    <w:p w14:paraId="691F89D2" w14:textId="77777777" w:rsidR="007B1862" w:rsidRDefault="00000000">
      <w:pPr>
        <w:pStyle w:val="ListParagraph"/>
        <w:numPr>
          <w:ilvl w:val="0"/>
          <w:numId w:val="4"/>
        </w:numPr>
      </w:pPr>
      <w:r>
        <w:t>☐ Data protection roles and responsibilities documented</w:t>
      </w:r>
    </w:p>
    <w:p w14:paraId="79F72583" w14:textId="77777777" w:rsidR="007B1862" w:rsidRDefault="00000000">
      <w:pPr>
        <w:pStyle w:val="Heading2"/>
      </w:pPr>
      <w:r>
        <w:t>Area 2: Data security controls</w:t>
      </w:r>
    </w:p>
    <w:p w14:paraId="196705D5" w14:textId="77777777" w:rsidR="007B1862" w:rsidRDefault="00000000">
      <w:pPr>
        <w:pStyle w:val="ListParagraph"/>
        <w:numPr>
          <w:ilvl w:val="0"/>
          <w:numId w:val="5"/>
        </w:numPr>
      </w:pPr>
      <w:r>
        <w:t>☐ Access control policy, with evidence of role-based access</w:t>
      </w:r>
    </w:p>
    <w:p w14:paraId="20577DF2" w14:textId="77777777" w:rsidR="007B1862" w:rsidRDefault="00000000">
      <w:pPr>
        <w:pStyle w:val="ListParagraph"/>
        <w:numPr>
          <w:ilvl w:val="0"/>
          <w:numId w:val="5"/>
        </w:numPr>
      </w:pPr>
      <w:r>
        <w:t>☐ Encryption of personal data at rest and in transit</w:t>
      </w:r>
    </w:p>
    <w:p w14:paraId="57875DEB" w14:textId="77777777" w:rsidR="007B1862" w:rsidRDefault="00000000">
      <w:pPr>
        <w:pStyle w:val="ListParagraph"/>
        <w:numPr>
          <w:ilvl w:val="0"/>
          <w:numId w:val="5"/>
        </w:numPr>
      </w:pPr>
      <w:r>
        <w:t>☐ Breach response plan, tested at least once this year</w:t>
      </w:r>
    </w:p>
    <w:p w14:paraId="7F2AD244" w14:textId="77777777" w:rsidR="007B1862" w:rsidRDefault="00000000">
      <w:pPr>
        <w:pStyle w:val="ListParagraph"/>
        <w:numPr>
          <w:ilvl w:val="0"/>
          <w:numId w:val="5"/>
        </w:numPr>
      </w:pPr>
      <w:r>
        <w:t>☐ Breach register, including any NDPC notifications made</w:t>
      </w:r>
    </w:p>
    <w:p w14:paraId="28D16900" w14:textId="77777777" w:rsidR="007B1862" w:rsidRDefault="00000000">
      <w:pPr>
        <w:pStyle w:val="ListParagraph"/>
        <w:numPr>
          <w:ilvl w:val="0"/>
          <w:numId w:val="5"/>
        </w:numPr>
      </w:pPr>
      <w:r>
        <w:t>☐ Vulnerability assessment or penetration test report from this year</w:t>
      </w:r>
    </w:p>
    <w:p w14:paraId="04B5E6DE" w14:textId="77777777" w:rsidR="007B1862" w:rsidRDefault="00000000">
      <w:pPr>
        <w:pStyle w:val="ListParagraph"/>
        <w:numPr>
          <w:ilvl w:val="0"/>
          <w:numId w:val="5"/>
        </w:numPr>
      </w:pPr>
      <w:r>
        <w:lastRenderedPageBreak/>
        <w:t>☐ Backups tested for recovery</w:t>
      </w:r>
    </w:p>
    <w:p w14:paraId="51667929" w14:textId="77777777" w:rsidR="007B1862" w:rsidRDefault="00000000">
      <w:pPr>
        <w:pStyle w:val="ListParagraph"/>
        <w:numPr>
          <w:ilvl w:val="0"/>
          <w:numId w:val="5"/>
        </w:numPr>
      </w:pPr>
      <w:r>
        <w:t>☐ Physical security for paper records</w:t>
      </w:r>
    </w:p>
    <w:p w14:paraId="634301AB" w14:textId="77777777" w:rsidR="007B1862" w:rsidRDefault="00000000">
      <w:pPr>
        <w:pStyle w:val="Heading2"/>
      </w:pPr>
      <w:r>
        <w:t>Area 3: Accountability and risk</w:t>
      </w:r>
    </w:p>
    <w:p w14:paraId="1CA3ECEB" w14:textId="77777777" w:rsidR="007B1862" w:rsidRDefault="00000000">
      <w:r>
        <w:t>The area where most CARs stall. Ask for records, not policies.</w:t>
      </w:r>
    </w:p>
    <w:p w14:paraId="57C4A725" w14:textId="77777777" w:rsidR="007B1862" w:rsidRDefault="00000000">
      <w:pPr>
        <w:pStyle w:val="ListParagraph"/>
        <w:numPr>
          <w:ilvl w:val="0"/>
          <w:numId w:val="6"/>
        </w:numPr>
      </w:pPr>
      <w:r>
        <w:t>☐ Record of processing activities (ROPA), complete and current</w:t>
      </w:r>
    </w:p>
    <w:p w14:paraId="2E4D23FD" w14:textId="77777777" w:rsidR="007B1862" w:rsidRDefault="00000000">
      <w:pPr>
        <w:pStyle w:val="ListParagraph"/>
        <w:numPr>
          <w:ilvl w:val="0"/>
          <w:numId w:val="6"/>
        </w:numPr>
      </w:pPr>
      <w:r>
        <w:t>☐ Lawful basis documented for each processing activity</w:t>
      </w:r>
    </w:p>
    <w:p w14:paraId="606A69D0" w14:textId="77777777" w:rsidR="007B1862" w:rsidRDefault="00000000">
      <w:pPr>
        <w:pStyle w:val="ListParagraph"/>
        <w:numPr>
          <w:ilvl w:val="0"/>
          <w:numId w:val="6"/>
        </w:numPr>
      </w:pPr>
      <w:r>
        <w:t>☐ Consent records, where consent is the lawful basis</w:t>
      </w:r>
    </w:p>
    <w:p w14:paraId="6D6A46A6" w14:textId="77777777" w:rsidR="007B1862" w:rsidRDefault="00000000">
      <w:pPr>
        <w:pStyle w:val="ListParagraph"/>
        <w:numPr>
          <w:ilvl w:val="0"/>
          <w:numId w:val="6"/>
        </w:numPr>
      </w:pPr>
      <w:r>
        <w:t>☐ DPIAs for high-risk processing, using the GAID Schedule 4 template</w:t>
      </w:r>
    </w:p>
    <w:p w14:paraId="21253256" w14:textId="77777777" w:rsidR="007B1862" w:rsidRDefault="00000000">
      <w:pPr>
        <w:pStyle w:val="ListParagraph"/>
        <w:numPr>
          <w:ilvl w:val="0"/>
          <w:numId w:val="6"/>
        </w:numPr>
      </w:pPr>
      <w:r>
        <w:t>☐ DSAR log with request dates, response dates and outcomes</w:t>
      </w:r>
    </w:p>
    <w:p w14:paraId="2B08D39A" w14:textId="77777777" w:rsidR="007B1862" w:rsidRDefault="00000000">
      <w:pPr>
        <w:pStyle w:val="ListParagraph"/>
        <w:numPr>
          <w:ilvl w:val="0"/>
          <w:numId w:val="6"/>
        </w:numPr>
      </w:pPr>
      <w:r>
        <w:t>☐ Retention schedule, with evidence of disposal</w:t>
      </w:r>
    </w:p>
    <w:p w14:paraId="0CAA83EE" w14:textId="77777777" w:rsidR="007B1862" w:rsidRDefault="00000000">
      <w:pPr>
        <w:pStyle w:val="ListParagraph"/>
        <w:numPr>
          <w:ilvl w:val="0"/>
          <w:numId w:val="6"/>
        </w:numPr>
      </w:pPr>
      <w:r>
        <w:t>☐ Data protection risk register</w:t>
      </w:r>
    </w:p>
    <w:p w14:paraId="0493F1CB" w14:textId="77777777" w:rsidR="007B1862" w:rsidRDefault="00000000">
      <w:pPr>
        <w:pStyle w:val="Heading2"/>
      </w:pPr>
      <w:r>
        <w:t>Area 4: Cross-border transfer</w:t>
      </w:r>
    </w:p>
    <w:p w14:paraId="3AAFB24B" w14:textId="77777777" w:rsidR="007B1862" w:rsidRDefault="00000000">
      <w:pPr>
        <w:pStyle w:val="ListParagraph"/>
        <w:numPr>
          <w:ilvl w:val="0"/>
          <w:numId w:val="7"/>
        </w:numPr>
      </w:pPr>
      <w:r>
        <w:t>☐ Inventory of personal data leaving Nigeria: destination, data type, recipient</w:t>
      </w:r>
    </w:p>
    <w:p w14:paraId="0157ADE8" w14:textId="77777777" w:rsidR="007B1862" w:rsidRDefault="00000000">
      <w:pPr>
        <w:pStyle w:val="ListParagraph"/>
        <w:numPr>
          <w:ilvl w:val="0"/>
          <w:numId w:val="7"/>
        </w:numPr>
      </w:pPr>
      <w:r>
        <w:t>☐ Documented legal basis or safeguard for each transfer</w:t>
      </w:r>
    </w:p>
    <w:p w14:paraId="1BB75BC6" w14:textId="77777777" w:rsidR="007B1862" w:rsidRDefault="00000000">
      <w:pPr>
        <w:pStyle w:val="ListParagraph"/>
        <w:numPr>
          <w:ilvl w:val="0"/>
          <w:numId w:val="7"/>
        </w:numPr>
      </w:pPr>
      <w:r>
        <w:t>☐ Cloud and hosting locations confirmed for every system holding personal data</w:t>
      </w:r>
    </w:p>
    <w:p w14:paraId="64488123" w14:textId="77777777" w:rsidR="007B1862" w:rsidRDefault="00000000">
      <w:pPr>
        <w:pStyle w:val="Heading2"/>
      </w:pPr>
      <w:r>
        <w:t>Area 5: Third-party data processors</w:t>
      </w:r>
    </w:p>
    <w:p w14:paraId="4C8F089F" w14:textId="77777777" w:rsidR="007B1862" w:rsidRDefault="00000000">
      <w:r>
        <w:t>The other common gap. Vendors are often missing from the evidence pack entirely.</w:t>
      </w:r>
    </w:p>
    <w:p w14:paraId="264AA94F" w14:textId="77777777" w:rsidR="007B1862" w:rsidRDefault="00000000">
      <w:pPr>
        <w:pStyle w:val="ListParagraph"/>
        <w:numPr>
          <w:ilvl w:val="0"/>
          <w:numId w:val="8"/>
        </w:numPr>
      </w:pPr>
      <w:r>
        <w:t>☐ Processor and vendor list, with the personal data each one handles</w:t>
      </w:r>
    </w:p>
    <w:p w14:paraId="194E049B" w14:textId="77777777" w:rsidR="007B1862" w:rsidRDefault="00000000">
      <w:pPr>
        <w:pStyle w:val="ListParagraph"/>
        <w:numPr>
          <w:ilvl w:val="0"/>
          <w:numId w:val="8"/>
        </w:numPr>
      </w:pPr>
      <w:r>
        <w:t>☐ Signed data processing agreement for every processor</w:t>
      </w:r>
    </w:p>
    <w:p w14:paraId="61137E08" w14:textId="77777777" w:rsidR="007B1862" w:rsidRDefault="00000000">
      <w:pPr>
        <w:pStyle w:val="ListParagraph"/>
        <w:numPr>
          <w:ilvl w:val="0"/>
          <w:numId w:val="8"/>
        </w:numPr>
      </w:pPr>
      <w:r>
        <w:t>☐ Due-diligence records from before each processor was onboarded</w:t>
      </w:r>
    </w:p>
    <w:p w14:paraId="43D6DCF0" w14:textId="77777777" w:rsidR="007B1862" w:rsidRDefault="00000000">
      <w:pPr>
        <w:pStyle w:val="ListParagraph"/>
        <w:numPr>
          <w:ilvl w:val="0"/>
          <w:numId w:val="8"/>
        </w:numPr>
      </w:pPr>
      <w:r>
        <w:t>☐ Sub-processors identified for key vendors</w:t>
      </w:r>
    </w:p>
    <w:p w14:paraId="24E6A979" w14:textId="77777777" w:rsidR="007B1862" w:rsidRDefault="00000000">
      <w:pPr>
        <w:pStyle w:val="ListParagraph"/>
        <w:numPr>
          <w:ilvl w:val="0"/>
          <w:numId w:val="8"/>
        </w:numPr>
      </w:pPr>
      <w:r>
        <w:t>☐ Evidence of a periodic processor review this year</w:t>
      </w:r>
    </w:p>
    <w:p w14:paraId="400048F8" w14:textId="77777777" w:rsidR="007B1862" w:rsidRDefault="00000000">
      <w:pPr>
        <w:pStyle w:val="Heading2"/>
      </w:pPr>
      <w:r>
        <w:t>Filing and sign-off</w:t>
      </w:r>
    </w:p>
    <w:p w14:paraId="65FC2CE8" w14:textId="77777777" w:rsidR="007B1862" w:rsidRDefault="00000000">
      <w:pPr>
        <w:pStyle w:val="ListParagraph"/>
        <w:numPr>
          <w:ilvl w:val="0"/>
          <w:numId w:val="9"/>
        </w:numPr>
      </w:pPr>
      <w:r>
        <w:t>☐ Gap analysis complete, with a Ready / Partial / Gap score for each area</w:t>
      </w:r>
    </w:p>
    <w:p w14:paraId="16539FD1" w14:textId="77777777" w:rsidR="007B1862" w:rsidRDefault="00000000">
      <w:pPr>
        <w:pStyle w:val="ListParagraph"/>
        <w:numPr>
          <w:ilvl w:val="0"/>
          <w:numId w:val="9"/>
        </w:numPr>
      </w:pPr>
      <w:r>
        <w:t>☐ Remediation agreed for every gap the client can close before filing</w:t>
      </w:r>
    </w:p>
    <w:p w14:paraId="2126DF1B" w14:textId="77777777" w:rsidR="007B1862" w:rsidRDefault="00000000">
      <w:pPr>
        <w:pStyle w:val="ListParagraph"/>
        <w:numPr>
          <w:ilvl w:val="0"/>
          <w:numId w:val="9"/>
        </w:numPr>
      </w:pPr>
      <w:r>
        <w:t>☐ CAR drafted on the GAID Schedule 2 template, each finding traced to its evidence</w:t>
      </w:r>
    </w:p>
    <w:p w14:paraId="6B49E1E7" w14:textId="77777777" w:rsidR="007B1862" w:rsidRDefault="00000000">
      <w:pPr>
        <w:pStyle w:val="ListParagraph"/>
        <w:numPr>
          <w:ilvl w:val="0"/>
          <w:numId w:val="9"/>
        </w:numPr>
      </w:pPr>
      <w:r>
        <w:t xml:space="preserve">☐ Written approval from the client's </w:t>
      </w:r>
      <w:proofErr w:type="spellStart"/>
      <w:r>
        <w:t>authorised</w:t>
      </w:r>
      <w:proofErr w:type="spellEnd"/>
      <w:r>
        <w:t xml:space="preserve"> signatory</w:t>
      </w:r>
    </w:p>
    <w:p w14:paraId="0C6C459F" w14:textId="77777777" w:rsidR="007B1862" w:rsidRDefault="00000000">
      <w:pPr>
        <w:pStyle w:val="ListParagraph"/>
        <w:numPr>
          <w:ilvl w:val="0"/>
          <w:numId w:val="9"/>
        </w:numPr>
      </w:pPr>
      <w:r>
        <w:t>☐ Filed on the NDPC portal, fee paid, confirmation and receipt saved</w:t>
      </w:r>
    </w:p>
    <w:p w14:paraId="30B78B0D" w14:textId="77777777" w:rsidR="007B1862" w:rsidRDefault="00000000">
      <w:pPr>
        <w:pStyle w:val="ListParagraph"/>
        <w:numPr>
          <w:ilvl w:val="0"/>
          <w:numId w:val="9"/>
        </w:numPr>
      </w:pPr>
      <w:r>
        <w:t>☐ Remediation plan for open items handed to the client</w:t>
      </w:r>
    </w:p>
    <w:p w14:paraId="0C5E4499" w14:textId="77777777" w:rsidR="007B1862" w:rsidRDefault="00000000">
      <w:pPr>
        <w:pStyle w:val="Heading2"/>
      </w:pPr>
      <w:r>
        <w:t>Run this checklist inside DPO Copilot</w:t>
      </w:r>
    </w:p>
    <w:p w14:paraId="177A5104" w14:textId="77777777" w:rsidR="007B1862" w:rsidRDefault="00000000">
      <w:r>
        <w:t>One PDF per client works for a few clients. At fifteen, it turns into the spreadsheet chase this checklist was meant to end.</w:t>
      </w:r>
    </w:p>
    <w:p w14:paraId="4A82B91B" w14:textId="77777777" w:rsidR="007B1862" w:rsidRDefault="00000000">
      <w:r>
        <w:lastRenderedPageBreak/>
        <w:t>DPO Copilot builds this checklist into every client workspace. Clients upload evidence straight to each item, your team sees what's Ready, Partial or a Gap at a glance, and Amana, the AI copilot, drafts the CAR sections from the evidence you've collected.</w:t>
      </w:r>
    </w:p>
    <w:p w14:paraId="1404128F" w14:textId="77777777" w:rsidR="007B1862" w:rsidRDefault="00000000">
      <w:r>
        <w:rPr>
          <w:b/>
        </w:rPr>
        <w:t>[Join the DPO Copilot waitlist →]</w:t>
      </w:r>
      <w:r>
        <w:t xml:space="preserve"> </w:t>
      </w:r>
      <w:r>
        <w:rPr>
          <w:i/>
        </w:rPr>
        <w:t>(link to waitlist page)</w:t>
      </w:r>
    </w:p>
    <w:p w14:paraId="7B48B1F1" w14:textId="77777777" w:rsidR="007B1862" w:rsidRDefault="00000000">
      <w:r>
        <w:t xml:space="preserve">New to the CAR? Read the full guide: </w:t>
      </w:r>
      <w:r>
        <w:rPr>
          <w:i/>
        </w:rPr>
        <w:t>The DPCO's Guide to Filing a Compliance Audit Return</w:t>
      </w:r>
      <w:r>
        <w:t xml:space="preserve"> (link to pillar article).</w:t>
      </w:r>
    </w:p>
    <w:p w14:paraId="2EDF5B05" w14:textId="77777777" w:rsidR="007B1862" w:rsidRDefault="00000000">
      <w:pPr>
        <w:pStyle w:val="Heading2"/>
      </w:pPr>
      <w:r>
        <w:t>Sources</w:t>
      </w:r>
    </w:p>
    <w:p w14:paraId="49B39B05" w14:textId="77777777" w:rsidR="007B1862" w:rsidRDefault="00000000">
      <w:pPr>
        <w:pStyle w:val="ListParagraph"/>
        <w:numPr>
          <w:ilvl w:val="0"/>
          <w:numId w:val="10"/>
        </w:numPr>
      </w:pPr>
      <w:hyperlink r:id="rId5" w:history="1">
        <w:r>
          <w:rPr>
            <w:rStyle w:val="Hyperlink"/>
          </w:rPr>
          <w:t>Templars — Data Protection Compliance in Nigeria: Audit Return Obligations for 2026</w:t>
        </w:r>
      </w:hyperlink>
      <w:r>
        <w:t xml:space="preserve"> (categories, Schedule 2 areas)</w:t>
      </w:r>
    </w:p>
    <w:p w14:paraId="0A4EDE3E" w14:textId="77777777" w:rsidR="007B1862" w:rsidRDefault="00000000">
      <w:pPr>
        <w:pStyle w:val="ListParagraph"/>
        <w:numPr>
          <w:ilvl w:val="0"/>
          <w:numId w:val="10"/>
        </w:numPr>
      </w:pPr>
      <w:hyperlink r:id="rId6" w:history="1">
        <w:r>
          <w:rPr>
            <w:rStyle w:val="Hyperlink"/>
          </w:rPr>
          <w:t xml:space="preserve">Pavestones Legal via </w:t>
        </w:r>
        <w:proofErr w:type="spellStart"/>
        <w:r>
          <w:rPr>
            <w:rStyle w:val="Hyperlink"/>
          </w:rPr>
          <w:t>Mondaq</w:t>
        </w:r>
        <w:proofErr w:type="spellEnd"/>
        <w:r>
          <w:rPr>
            <w:rStyle w:val="Hyperlink"/>
          </w:rPr>
          <w:t xml:space="preserve"> — NDPC Extends Data Audit Filing Deadline</w:t>
        </w:r>
      </w:hyperlink>
    </w:p>
    <w:p w14:paraId="0EB0B8AF" w14:textId="77777777" w:rsidR="007B1862" w:rsidRDefault="00000000">
      <w:r>
        <w:t>This checklist is practical guidance, not legal advice. Confirm current requirements with the GAID and the NDPC before filing.</w:t>
      </w:r>
    </w:p>
    <w:sectPr w:rsidR="007B186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A5A13"/>
    <w:multiLevelType w:val="hybridMultilevel"/>
    <w:tmpl w:val="B234F2D0"/>
    <w:lvl w:ilvl="0" w:tplc="CD445C44">
      <w:start w:val="1"/>
      <w:numFmt w:val="bullet"/>
      <w:lvlText w:val="•"/>
      <w:lvlJc w:val="left"/>
      <w:pPr>
        <w:ind w:left="720" w:hanging="360"/>
      </w:pPr>
    </w:lvl>
    <w:lvl w:ilvl="1" w:tplc="18060BDA">
      <w:start w:val="1"/>
      <w:numFmt w:val="bullet"/>
      <w:lvlText w:val="o"/>
      <w:lvlJc w:val="left"/>
      <w:pPr>
        <w:ind w:left="1440" w:hanging="360"/>
      </w:pPr>
    </w:lvl>
    <w:lvl w:ilvl="2" w:tplc="ED4644AE">
      <w:start w:val="1"/>
      <w:numFmt w:val="bullet"/>
      <w:lvlText w:val="▪"/>
      <w:lvlJc w:val="left"/>
      <w:pPr>
        <w:ind w:left="2160" w:hanging="360"/>
      </w:pPr>
    </w:lvl>
    <w:lvl w:ilvl="3" w:tplc="42E00B9C">
      <w:start w:val="1"/>
      <w:numFmt w:val="bullet"/>
      <w:lvlText w:val="•"/>
      <w:lvlJc w:val="left"/>
      <w:pPr>
        <w:ind w:left="2880" w:hanging="360"/>
      </w:pPr>
    </w:lvl>
    <w:lvl w:ilvl="4" w:tplc="A3CC6EA8">
      <w:start w:val="1"/>
      <w:numFmt w:val="bullet"/>
      <w:lvlText w:val="o"/>
      <w:lvlJc w:val="left"/>
      <w:pPr>
        <w:ind w:left="3600" w:hanging="360"/>
      </w:pPr>
    </w:lvl>
    <w:lvl w:ilvl="5" w:tplc="B4BE67CE">
      <w:start w:val="1"/>
      <w:numFmt w:val="bullet"/>
      <w:lvlText w:val="▪"/>
      <w:lvlJc w:val="left"/>
      <w:pPr>
        <w:ind w:left="4320" w:hanging="360"/>
      </w:pPr>
    </w:lvl>
    <w:lvl w:ilvl="6" w:tplc="B4A0E01E">
      <w:start w:val="1"/>
      <w:numFmt w:val="bullet"/>
      <w:lvlText w:val="•"/>
      <w:lvlJc w:val="left"/>
      <w:pPr>
        <w:ind w:left="5040" w:hanging="360"/>
      </w:pPr>
    </w:lvl>
    <w:lvl w:ilvl="7" w:tplc="8B62B1E4">
      <w:start w:val="1"/>
      <w:numFmt w:val="bullet"/>
      <w:lvlText w:val="o"/>
      <w:lvlJc w:val="left"/>
      <w:pPr>
        <w:ind w:left="5760" w:hanging="360"/>
      </w:pPr>
    </w:lvl>
    <w:lvl w:ilvl="8" w:tplc="1702FDA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10F66F5F"/>
    <w:multiLevelType w:val="hybridMultilevel"/>
    <w:tmpl w:val="DB18C298"/>
    <w:lvl w:ilvl="0" w:tplc="E8BC1980">
      <w:start w:val="1"/>
      <w:numFmt w:val="decimal"/>
      <w:lvlText w:val="%1."/>
      <w:lvlJc w:val="left"/>
      <w:pPr>
        <w:ind w:left="720" w:hanging="360"/>
      </w:pPr>
    </w:lvl>
    <w:lvl w:ilvl="1" w:tplc="93A6B8B6">
      <w:start w:val="1"/>
      <w:numFmt w:val="lowerLetter"/>
      <w:lvlText w:val="%2."/>
      <w:lvlJc w:val="left"/>
      <w:pPr>
        <w:ind w:left="1440" w:hanging="360"/>
      </w:pPr>
    </w:lvl>
    <w:lvl w:ilvl="2" w:tplc="92622DC4">
      <w:start w:val="1"/>
      <w:numFmt w:val="lowerRoman"/>
      <w:lvlText w:val="%3."/>
      <w:lvlJc w:val="left"/>
      <w:pPr>
        <w:ind w:left="2160" w:hanging="360"/>
      </w:pPr>
    </w:lvl>
    <w:lvl w:ilvl="3" w:tplc="FF54D332">
      <w:start w:val="1"/>
      <w:numFmt w:val="decimal"/>
      <w:lvlText w:val="%4."/>
      <w:lvlJc w:val="left"/>
      <w:pPr>
        <w:ind w:left="2880" w:hanging="360"/>
      </w:pPr>
    </w:lvl>
    <w:lvl w:ilvl="4" w:tplc="A2869F74">
      <w:start w:val="1"/>
      <w:numFmt w:val="lowerLetter"/>
      <w:lvlText w:val="%5."/>
      <w:lvlJc w:val="left"/>
      <w:pPr>
        <w:ind w:left="3600" w:hanging="360"/>
      </w:pPr>
    </w:lvl>
    <w:lvl w:ilvl="5" w:tplc="ABCADB7E">
      <w:start w:val="1"/>
      <w:numFmt w:val="lowerRoman"/>
      <w:lvlText w:val="%6."/>
      <w:lvlJc w:val="left"/>
      <w:pPr>
        <w:ind w:left="4320" w:hanging="360"/>
      </w:pPr>
    </w:lvl>
    <w:lvl w:ilvl="6" w:tplc="EB0CD07A">
      <w:start w:val="1"/>
      <w:numFmt w:val="decimal"/>
      <w:lvlText w:val="%7."/>
      <w:lvlJc w:val="left"/>
      <w:pPr>
        <w:ind w:left="5040" w:hanging="360"/>
      </w:pPr>
    </w:lvl>
    <w:lvl w:ilvl="7" w:tplc="87AC7A0C">
      <w:start w:val="1"/>
      <w:numFmt w:val="lowerLetter"/>
      <w:lvlText w:val="%8."/>
      <w:lvlJc w:val="left"/>
      <w:pPr>
        <w:ind w:left="5760" w:hanging="360"/>
      </w:pPr>
    </w:lvl>
    <w:lvl w:ilvl="8" w:tplc="A8206D54">
      <w:start w:val="1"/>
      <w:numFmt w:val="lowerRoman"/>
      <w:lvlText w:val="%9."/>
      <w:lvlJc w:val="left"/>
      <w:pPr>
        <w:ind w:left="6480" w:hanging="360"/>
      </w:pPr>
    </w:lvl>
  </w:abstractNum>
  <w:num w:numId="1" w16cid:durableId="1638607263">
    <w:abstractNumId w:val="0"/>
  </w:num>
  <w:num w:numId="2" w16cid:durableId="895943058">
    <w:abstractNumId w:val="0"/>
  </w:num>
  <w:num w:numId="3" w16cid:durableId="1635016184">
    <w:abstractNumId w:val="0"/>
  </w:num>
  <w:num w:numId="4" w16cid:durableId="1292250923">
    <w:abstractNumId w:val="0"/>
  </w:num>
  <w:num w:numId="5" w16cid:durableId="1888448155">
    <w:abstractNumId w:val="0"/>
  </w:num>
  <w:num w:numId="6" w16cid:durableId="1956936926">
    <w:abstractNumId w:val="0"/>
  </w:num>
  <w:num w:numId="7" w16cid:durableId="2092240894">
    <w:abstractNumId w:val="0"/>
  </w:num>
  <w:num w:numId="8" w16cid:durableId="1766536987">
    <w:abstractNumId w:val="0"/>
  </w:num>
  <w:num w:numId="9" w16cid:durableId="168836593">
    <w:abstractNumId w:val="0"/>
  </w:num>
  <w:num w:numId="10" w16cid:durableId="524755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1862"/>
    <w:rsid w:val="001C19CD"/>
    <w:rsid w:val="007B1862"/>
    <w:rsid w:val="00E15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236E1"/>
  <w15:docId w15:val="{7AE0E2A7-07F8-431D-928F-3D2979200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ndaq.com/nigeria/privacy-protection/1770448/regulatory-update-ndpc-extends-data-audit-filing-deadline" TargetMode="External"/><Relationship Id="rId5" Type="http://schemas.openxmlformats.org/officeDocument/2006/relationships/hyperlink" Target="https://www.templars-law.com/app/uploads/2026/01/Client-Alert-Data-Protection-Compliance-in-Nigeria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710</Words>
  <Characters>4048</Characters>
  <Application>Microsoft Office Word</Application>
  <DocSecurity>0</DocSecurity>
  <Lines>33</Lines>
  <Paragraphs>9</Paragraphs>
  <ScaleCrop>false</ScaleCrop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 Readiness Checklist NDPA Compliance Audit Return Prep for DPCOs</dc:title>
  <dc:description>Claude Docs node/e2cf7da3-b7d5@9 docx-w6</dc:description>
  <cp:lastModifiedBy>Victoria Uduma</cp:lastModifiedBy>
  <cp:revision>10</cp:revision>
  <dcterms:created xsi:type="dcterms:W3CDTF">2026-10-07T13:58:00Z</dcterms:created>
  <dcterms:modified xsi:type="dcterms:W3CDTF">2026-10-07T13:58:00Z</dcterms:modified>
</cp:coreProperties>
</file>