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none" w:color="FFFFFF" w:sz="0"/>
              <w:left w:val="none" w:color="FFFFFF" w:sz="0"/>
              <w:bottom w:val="none" w:color="FFFFFF" w:sz="0"/>
              <w:right w:val="none" w:color="FFFFFF" w:sz="0"/>
            </w:tcBorders>
            <w:shd w:fill="0B2545" w:color="auto" w:val="clear"/>
            <w:tcMar>
              <w:top w:type="dxa" w:w="300"/>
              <w:left w:type="dxa" w:w="500"/>
              <w:bottom w:type="dxa" w:w="300"/>
              <w:right w:type="dxa" w:w="400"/>
            </w:tcMar>
            <w:vAlign w:val="center"/>
          </w:tcPr>
          <w:p>
            <w:pPr>
              <w:spacing w:after="160"/>
            </w:pPr>
            <w:r>
              <w:rPr>
                <w:rFonts w:ascii="Calibri" w:cs="Calibri" w:eastAsia="Calibri" w:hAnsi="Calibri"/>
                <w:b/>
                <w:bCs/>
                <w:color w:val="8FD3C4"/>
                <w:spacing w:val="40"/>
                <w:sz w:val="20"/>
                <w:szCs w:val="20"/>
              </w:rPr>
              <w:t xml:space="preserve">DATA PROTECTION COMPLIANCE REPORT</w:t>
            </w:r>
          </w:p>
          <w:p>
            <w:pPr>
              <w:spacing w:after="120"/>
            </w:pPr>
            <w:r>
              <w:rPr>
                <w:rFonts w:ascii="Calibri" w:cs="Calibri" w:eastAsia="Calibri" w:hAnsi="Calibri"/>
                <w:b/>
                <w:bCs/>
                <w:color w:val="FFFFFF"/>
                <w:sz w:val="64"/>
                <w:szCs w:val="64"/>
              </w:rPr>
              <w:t xml:space="preserve">Legitimate Interest</w:t>
            </w:r>
          </w:p>
          <w:p>
            <w:pPr>
              <w:spacing w:after="240"/>
            </w:pPr>
            <w:r>
              <w:rPr>
                <w:rFonts w:ascii="Calibri" w:cs="Calibri" w:eastAsia="Calibri" w:hAnsi="Calibri"/>
                <w:b/>
                <w:bCs/>
                <w:color w:val="FFFFFF"/>
                <w:sz w:val="64"/>
                <w:szCs w:val="64"/>
              </w:rPr>
              <w:t xml:space="preserve">Assessment Report</w:t>
            </w:r>
          </w:p>
          <w:p>
            <w:pPr>
              <w:spacing w:after="60"/>
            </w:pPr>
            <w:r>
              <w:rPr>
                <w:rFonts w:ascii="Calibri" w:cs="Calibri" w:eastAsia="Calibri" w:hAnsi="Calibri"/>
                <w:color w:val="DCE6F0"/>
                <w:sz w:val="24"/>
                <w:szCs w:val="24"/>
              </w:rPr>
              <w:t xml:space="preserve">Prepared in accordance with the Nigeria Data Protection Act, 2023</w:t>
            </w:r>
          </w:p>
          <w:p>
            <w:r>
              <w:rPr>
                <w:rFonts w:ascii="Calibri" w:cs="Calibri" w:eastAsia="Calibri" w:hAnsi="Calibri"/>
                <w:color w:val="DCE6F0"/>
                <w:sz w:val="24"/>
                <w:szCs w:val="24"/>
              </w:rPr>
              <w:t xml:space="preserve">and the NDPA General Application and Implementation Directive (GAID), 2025</w:t>
            </w:r>
          </w:p>
        </w:tc>
      </w:tr>
    </w:tbl>
    <w:p>
      <w:pPr>
        <w:spacing w:after="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Organisation (Data Controller / Processor)</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[Insert registered name of organisation]</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Processing activity assessed</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[Insert name of processing activity]</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Report reference</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[LIA-YYYY-001]</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Report date</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[DD Month YYYY]</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Version</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1.0</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Classification</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b/>
                <w:bCs/>
                <w:sz w:val="21"/>
                <w:szCs w:val="21"/>
              </w:rPr>
              <w:t xml:space="preserve">Confidential – Internal and Regulatory Use</w:t>
            </w:r>
          </w:p>
        </w:tc>
      </w:tr>
    </w:tbl>
    <w:p>
      <w:pPr>
        <w:spacing w:after="300"/>
      </w:pPr>
    </w:p>
    <w:p>
      <w:r>
        <w:rPr>
          <w:rFonts w:ascii="Calibri" w:cs="Calibri" w:eastAsia="Calibri" w:hAnsi="Calibri"/>
          <w:color w:val="5A6B7B"/>
          <w:sz w:val="21"/>
          <w:szCs w:val="21"/>
        </w:rPr>
        <w:t xml:space="preserve">Prepared by: </w:t>
      </w:r>
      <w:r>
        <w:rPr>
          <w:rFonts w:ascii="Calibri" w:cs="Calibri" w:eastAsia="Calibri" w:hAnsi="Calibri"/>
          <w:b/>
          <w:bCs/>
          <w:color w:val="0B2545"/>
          <w:sz w:val="21"/>
          <w:szCs w:val="21"/>
        </w:rPr>
        <w:t xml:space="preserve">Dr. Ivan Anya, Data Protection Officer</w:t>
      </w:r>
    </w:p>
    <w:p>
      <w:r>
        <w:rPr>
          <w:rFonts w:ascii="Calibri" w:cs="Calibri" w:eastAsia="Calibri" w:hAnsi="Calibri"/>
          <w:color w:val="5A6B7B"/>
          <w:sz w:val="21"/>
          <w:szCs w:val="21"/>
        </w:rPr>
        <w:t xml:space="preserve">Business Intelligence Technologies Ltd</w:t>
      </w:r>
    </w:p>
    <w:p>
      <w:r>
        <w:br w:type="page"/>
      </w:r>
    </w:p>
    <w:p>
      <w:pPr>
        <w:pStyle w:val="Heading1"/>
      </w:pPr>
      <w:r>
        <w:rPr>
          <w:rFonts w:ascii="Calibri" w:cs="Calibri" w:eastAsia="Calibri" w:hAnsi="Calibri"/>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Item</w:t>
            </w:r>
          </w:p>
        </w:tc>
        <w:tc>
          <w:tcPr>
            <w:tcW w:type="dxa" w:w="62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Detail</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Document title</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Legitimate Interest Assessment (LIA) Report</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Lawful basis assessed</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Legitimate interest – NDPA 2023, Section 25</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Prepared by</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Dr. Ivan Anya, Data Protection Officer, Business Intelligence Technologies Ltd</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Reviewed by</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[Name, title]</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Approved by</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 title – e.g. Managing Director / Board]</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Next scheduled review</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[Date – at least annually or on material change]</w:t>
            </w:r>
          </w:p>
        </w:tc>
      </w:tr>
    </w:tbl>
    <w:p>
      <w:pPr>
        <w:spacing w:after="200"/>
      </w:pPr>
    </w:p>
    <w:p>
      <w:pPr>
        <w:pStyle w:val="Heading2"/>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38"/>
        <w:gridCol w:w="4000"/>
      </w:tblGrid>
      <w:tr>
        <w:trPr>
          <w:tblHeader/>
        </w:trPr>
        <w:tc>
          <w:tcPr>
            <w:tcW w:type="dxa" w:w="12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Version</w:t>
            </w:r>
          </w:p>
        </w:tc>
        <w:tc>
          <w:tcPr>
            <w:tcW w:type="dxa" w:w="18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Date</w:t>
            </w:r>
          </w:p>
        </w:tc>
        <w:tc>
          <w:tcPr>
            <w:tcW w:type="dxa" w:w="26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Author</w:t>
            </w:r>
          </w:p>
        </w:tc>
        <w:tc>
          <w:tcPr>
            <w:tcW w:type="dxa" w:w="40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Summary of change</w:t>
            </w:r>
          </w:p>
        </w:tc>
      </w:tr>
      <w:tr>
        <w:trPr>
          <w:cantSplit/>
        </w:trPr>
        <w:tc>
          <w:tcPr>
            <w:tcW w:type="dxa" w:w="1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1.0</w:t>
            </w:r>
          </w:p>
        </w:tc>
        <w:tc>
          <w:tcPr>
            <w:tcW w:type="dxa" w:w="18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[Date]</w:t>
            </w:r>
          </w:p>
        </w:tc>
        <w:tc>
          <w:tcPr>
            <w:tcW w:type="dxa" w:w="2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Dr. Ivan Anya</w:t>
            </w:r>
          </w:p>
        </w:tc>
        <w:tc>
          <w:tcPr>
            <w:tcW w:type="dxa" w:w="40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Initial assessment issued</w:t>
            </w:r>
          </w:p>
        </w:tc>
      </w:tr>
      <w:tr>
        <w:trPr>
          <w:cantSplit/>
        </w:trPr>
        <w:tc>
          <w:tcPr>
            <w:tcW w:type="dxa" w:w="1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[1.1]</w:t>
            </w:r>
          </w:p>
        </w:tc>
        <w:tc>
          <w:tcPr>
            <w:tcW w:type="dxa" w:w="18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[Date]</w:t>
            </w:r>
          </w:p>
        </w:tc>
        <w:tc>
          <w:tcPr>
            <w:tcW w:type="dxa" w:w="26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[Name]</w:t>
            </w:r>
          </w:p>
        </w:tc>
        <w:tc>
          <w:tcPr>
            <w:tcW w:type="dxa" w:w="40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[Change]</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6F" w:sz="36"/>
              <w:bottom w:val="none" w:color="FFFFFF" w:sz="0"/>
              <w:right w:val="none" w:color="FFFFFF" w:sz="0"/>
            </w:tcBorders>
            <w:shd w:fill="EEF3F8"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How to read this report</w:t>
            </w:r>
          </w:p>
          <w:p>
            <w:pPr>
              <w:spacing w:after="60" w:line="276"/>
            </w:pPr>
            <w:r>
              <w:rPr>
                <w:rFonts w:ascii="Calibri" w:cs="Calibri" w:eastAsia="Calibri" w:hAnsi="Calibri"/>
                <w:sz w:val="21"/>
                <w:szCs w:val="21"/>
              </w:rPr>
              <w:t xml:space="preserve">This report applies the three-part test (Purpose, Necessity and Balancing) that the GAID requires a controller to document where it elects to rely on legitimate interest as its lawful basis. Fields in grey italics are to be completed or confirmed by the assessing team before the report is signed off.</w:t>
            </w:r>
          </w:p>
        </w:tc>
      </w:tr>
    </w:tbl>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sz w:val="21"/>
          <w:szCs w:val="21"/>
        </w:rPr>
        <w:t xml:space="preserve">This report documents the Legitimate Interest Assessment (LIA) carried out by the organisation named below for the processing activity described in Section 3. Where a data controller elects to rely on legitimate interest as its lawful basis, the GAID requires a documented assessment showing that the basis is adequate for the processing. The NDPA, 2023 (Section 25) permits this basis only where it is not overridden by the fundamental rights, freedoms and interests of the data subject, and where the data subject would reasonably expect the processing.</w:t>
      </w:r>
    </w:p>
    <w:p>
      <w:pPr>
        <w:pStyle w:val="Heading2"/>
      </w:pPr>
      <w:r>
        <w:rPr>
          <w:rFonts w:ascii="Calibri" w:cs="Calibri" w:eastAsia="Calibri" w:hAnsi="Calibri"/>
        </w:rPr>
        <w:t xml:space="preserve">1.1 Assessment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Organisation</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[Insert organisation name and RC number]</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Processing activity</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[Insert activity title and one-line description]</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Lawful basis relied upon</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b/>
                <w:bCs/>
                <w:sz w:val="21"/>
                <w:szCs w:val="21"/>
              </w:rPr>
              <w:t xml:space="preserve">Legitimate interest (NDPA 2023, s. 25)</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Categories of data subjects</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[e.g. customers, employees, visitors, website users]</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Categories of personal data</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[List – confirm no sensitive personal data is involved]</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Date of assessment</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[DD Month YYYY]</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Overall outcome</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sz w:val="20"/>
                <w:szCs w:val="20"/>
              </w:rPr>
              <w:t xml:space="preserve">☐ Proceed     ☐ Proceed with safeguards     ☐ Do not proceed</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Residual risk to data subjects</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sz w:val="20"/>
                <w:szCs w:val="20"/>
              </w:rPr>
              <w:t xml:space="preserve">☐ Low     ☐ Medium     ☐ High</w:t>
            </w:r>
          </w:p>
        </w:tc>
      </w:tr>
      <w:t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DPIA required?</w:t>
            </w:r>
          </w:p>
        </w:tc>
        <w:tc>
          <w:tcPr>
            <w:tcW w:type="dxa" w:w="6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sz w:val="20"/>
                <w:szCs w:val="20"/>
              </w:rPr>
              <w:t xml:space="preserve">☐ Yes     ☐ No     ☐ To be determined</w:t>
            </w:r>
          </w:p>
        </w:tc>
      </w:tr>
    </w:tbl>
    <w:p>
      <w:pPr>
        <w:spacing w:after="160"/>
      </w:pPr>
    </w:p>
    <w:p>
      <w:pPr>
        <w:pStyle w:val="Heading2"/>
      </w:pPr>
      <w:r>
        <w:rPr>
          <w:rFonts w:ascii="Calibri" w:cs="Calibri" w:eastAsia="Calibri" w:hAnsi="Calibri"/>
        </w:rPr>
        <w:t xml:space="preserve">1.2 Summary of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38"/>
        <w:gridCol w:w="3500"/>
      </w:tblGrid>
      <w:tr>
        <w:trPr>
          <w:tblHeader/>
        </w:trPr>
        <w:tc>
          <w:tcPr>
            <w:tcW w:type="dxa" w:w="19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Test</w:t>
            </w:r>
          </w:p>
        </w:tc>
        <w:tc>
          <w:tcPr>
            <w:tcW w:type="dxa" w:w="42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Question answered</w:t>
            </w:r>
          </w:p>
        </w:tc>
        <w:tc>
          <w:tcPr>
            <w:tcW w:type="dxa" w:w="35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Result</w:t>
            </w:r>
          </w:p>
        </w:tc>
      </w:tr>
      <w:tr>
        <w:trPr>
          <w:cantSplit/>
        </w:trPr>
        <w:tc>
          <w:tcPr>
            <w:tcW w:type="dxa" w:w="1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1. Purpose test</w:t>
            </w:r>
          </w:p>
        </w:tc>
        <w:tc>
          <w:tcPr>
            <w:tcW w:type="dxa" w:w="4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Is there a clear, specific and lawful interest being pursued by the organisation or a third party?</w:t>
            </w:r>
          </w:p>
        </w:tc>
        <w:tc>
          <w:tcPr>
            <w:tcW w:type="dxa" w:w="35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 Met    ☐ Partly    ☐ Not met</w:t>
            </w:r>
          </w:p>
        </w:tc>
      </w:tr>
      <w:tr>
        <w:trPr>
          <w:cantSplit/>
        </w:trPr>
        <w:tc>
          <w:tcPr>
            <w:tcW w:type="dxa" w:w="1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2. Necessity test</w:t>
            </w:r>
          </w:p>
        </w:tc>
        <w:tc>
          <w:tcPr>
            <w:tcW w:type="dxa" w:w="4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Is the processing necessary for that interest, and is there no less intrusive way to achieve it?</w:t>
            </w:r>
          </w:p>
        </w:tc>
        <w:tc>
          <w:tcPr>
            <w:tcW w:type="dxa" w:w="35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 Met    ☐ Partly    ☐ Not met</w:t>
            </w:r>
          </w:p>
        </w:tc>
      </w:tr>
      <w:tr>
        <w:trPr>
          <w:cantSplit/>
        </w:trPr>
        <w:tc>
          <w:tcPr>
            <w:tcW w:type="dxa" w:w="1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3. Balancing test</w:t>
            </w:r>
          </w:p>
        </w:tc>
        <w:tc>
          <w:tcPr>
            <w:tcW w:type="dxa" w:w="4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Are the interests, rights and freedoms of data subjects outweighed by the organisation’s interest?</w:t>
            </w:r>
          </w:p>
        </w:tc>
        <w:tc>
          <w:tcPr>
            <w:tcW w:type="dxa" w:w="35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 Met    ☐ Partly    ☐ Not met</w:t>
            </w:r>
          </w:p>
        </w:tc>
      </w:tr>
    </w:tbl>
    <w:p>
      <w:r>
        <w:br w:type="page"/>
      </w:r>
    </w:p>
    <w:p>
      <w:pPr>
        <w:pStyle w:val="Heading2"/>
      </w:pPr>
      <w:r>
        <w:rPr>
          <w:rFonts w:ascii="Calibri" w:cs="Calibri" w:eastAsia="Calibri" w:hAnsi="Calibri"/>
        </w:rPr>
        <w:t xml:space="preserve">1.3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6F" w:sz="36"/>
              <w:bottom w:val="none" w:color="FFFFFF" w:sz="0"/>
              <w:right w:val="none" w:color="FFFFFF" w:sz="0"/>
            </w:tcBorders>
            <w:shd w:fill="EEF3F8"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Overall conclusion</w:t>
            </w:r>
          </w:p>
          <w:p>
            <w:pPr>
              <w:spacing w:after="60" w:line="276"/>
            </w:pPr>
            <w:r>
              <w:rPr>
                <w:rFonts w:ascii="Calibri" w:cs="Calibri" w:eastAsia="Calibri" w:hAnsi="Calibri"/>
                <w:sz w:val="21"/>
                <w:szCs w:val="21"/>
              </w:rPr>
              <w:t xml:space="preserve">Based on the analysis in Sections 4 to 7, legitimate interest </w:t>
            </w:r>
            <w:r>
              <w:rPr>
                <w:rFonts w:ascii="Calibri" w:cs="Calibri" w:eastAsia="Calibri" w:hAnsi="Calibri"/>
                <w:b/>
                <w:bCs/>
                <w:i/>
                <w:iCs/>
                <w:color w:val="5A6B7B"/>
                <w:sz w:val="21"/>
                <w:szCs w:val="21"/>
              </w:rPr>
              <w:t xml:space="preserve">[can / can only, subject to the safeguards in Section 8, / cannot]</w:t>
            </w:r>
            <w:r>
              <w:rPr>
                <w:rFonts w:ascii="Calibri" w:cs="Calibri" w:eastAsia="Calibri" w:hAnsi="Calibri"/>
                <w:sz w:val="21"/>
                <w:szCs w:val="21"/>
              </w:rPr>
              <w:t xml:space="preserve"> be relied upon as the lawful basis for the processing activity described in this report.</w:t>
            </w:r>
          </w:p>
          <w:p>
            <w:pPr>
              <w:spacing w:after="60" w:line="276"/>
            </w:pPr>
            <w:r>
              <w:rPr>
                <w:rFonts w:ascii="Calibri" w:cs="Calibri" w:eastAsia="Calibri" w:hAnsi="Calibri"/>
                <w:sz w:val="21"/>
                <w:szCs w:val="21"/>
              </w:rPr>
              <w:t xml:space="preserve">Reliance on legitimate interest does not remove the organisation’s duty to apply the principles of Section 24 of the NDPA, to be transparent with data subjects, and to honour their right to object.</w:t>
            </w:r>
          </w:p>
        </w:tc>
      </w:tr>
    </w:tbl>
    <w:p>
      <w:pPr>
        <w:pStyle w:val="Heading2"/>
      </w:pPr>
      <w:r>
        <w:rPr>
          <w:rFonts w:ascii="Calibri" w:cs="Calibri" w:eastAsia="Calibri" w:hAnsi="Calibri"/>
        </w:rPr>
        <w:t xml:space="preserve">1.4 Priority actions</w:t>
      </w:r>
    </w:p>
    <w:p>
      <w:pPr>
        <w:pStyle w:val="ListParagraph"/>
        <w:numPr>
          <w:ilvl w:val="0"/>
          <w:numId w:val="2"/>
        </w:numPr>
        <w:spacing w:after="80" w:line="276"/>
      </w:pPr>
      <w:r>
        <w:rPr>
          <w:rFonts w:ascii="Calibri" w:cs="Calibri" w:eastAsia="Calibri" w:hAnsi="Calibri"/>
          <w:sz w:val="21"/>
          <w:szCs w:val="21"/>
        </w:rPr>
        <w:t xml:space="preserve">Publish or update the privacy notice so that the legitimate interest relied upon is named in plain language.</w:t>
      </w:r>
    </w:p>
    <w:p>
      <w:pPr>
        <w:pStyle w:val="ListParagraph"/>
        <w:numPr>
          <w:ilvl w:val="0"/>
          <w:numId w:val="2"/>
        </w:numPr>
        <w:spacing w:after="80" w:line="276"/>
      </w:pPr>
      <w:r>
        <w:rPr>
          <w:rFonts w:ascii="Calibri" w:cs="Calibri" w:eastAsia="Calibri" w:hAnsi="Calibri"/>
          <w:sz w:val="21"/>
          <w:szCs w:val="21"/>
        </w:rPr>
        <w:t xml:space="preserve">Provide a simple and visible mechanism for data subjects to object to the processing, and record outcomes.</w:t>
      </w:r>
    </w:p>
    <w:p>
      <w:pPr>
        <w:pStyle w:val="ListParagraph"/>
        <w:numPr>
          <w:ilvl w:val="0"/>
          <w:numId w:val="2"/>
        </w:numPr>
        <w:spacing w:after="80" w:line="276"/>
      </w:pPr>
      <w:r>
        <w:rPr>
          <w:rFonts w:ascii="Calibri" w:cs="Calibri" w:eastAsia="Calibri" w:hAnsi="Calibri"/>
          <w:sz w:val="21"/>
          <w:szCs w:val="21"/>
        </w:rPr>
        <w:t xml:space="preserve">Implement the safeguards in Section 8 (minimisation, access control, retention limits and security) before processing begins or continues.</w:t>
      </w:r>
    </w:p>
    <w:p>
      <w:pPr>
        <w:pStyle w:val="ListParagraph"/>
        <w:numPr>
          <w:ilvl w:val="0"/>
          <w:numId w:val="2"/>
        </w:numPr>
        <w:spacing w:after="80" w:line="276"/>
      </w:pPr>
      <w:r>
        <w:rPr>
          <w:rFonts w:ascii="Calibri" w:cs="Calibri" w:eastAsia="Calibri" w:hAnsi="Calibri"/>
          <w:sz w:val="21"/>
          <w:szCs w:val="21"/>
        </w:rPr>
        <w:t xml:space="preserve">Assess whether the activity triggers a Data Protection Impact Assessment (NDPA, s. 28) and record the decision.</w:t>
      </w:r>
    </w:p>
    <w:p>
      <w:pPr>
        <w:pStyle w:val="ListParagraph"/>
        <w:numPr>
          <w:ilvl w:val="0"/>
          <w:numId w:val="2"/>
        </w:numPr>
        <w:spacing w:after="80" w:line="276"/>
      </w:pPr>
      <w:r>
        <w:rPr>
          <w:rFonts w:ascii="Calibri" w:cs="Calibri" w:eastAsia="Calibri" w:hAnsi="Calibri"/>
          <w:sz w:val="21"/>
          <w:szCs w:val="21"/>
        </w:rPr>
        <w:t xml:space="preserve">Record this assessment in the Record of Processing Activities and make it available to the Nigeria Data Protection Commission (NDPC) on request.</w:t>
      </w:r>
    </w:p>
    <w:p>
      <w:pPr>
        <w:pStyle w:val="ListParagraph"/>
        <w:numPr>
          <w:ilvl w:val="0"/>
          <w:numId w:val="2"/>
        </w:numPr>
        <w:spacing w:after="80" w:line="276"/>
      </w:pPr>
      <w:r>
        <w:rPr>
          <w:rFonts w:ascii="Calibri" w:cs="Calibri" w:eastAsia="Calibri" w:hAnsi="Calibri"/>
          <w:sz w:val="21"/>
          <w:szCs w:val="21"/>
        </w:rPr>
        <w:t xml:space="preserve">Re-run this assessment annually, and on any change to purpose, data, recipients, technology or risk.</w:t>
      </w:r>
    </w:p>
    <w:p>
      <w:r>
        <w:br w:type="page"/>
      </w:r>
    </w:p>
    <w:p>
      <w:pPr>
        <w:pStyle w:val="Heading1"/>
      </w:pPr>
      <w:r>
        <w:rPr>
          <w:rFonts w:ascii="Calibri" w:cs="Calibri" w:eastAsia="Calibri" w:hAnsi="Calibri"/>
        </w:rPr>
        <w:t xml:space="preserve">2. Organisation Identity</w:t>
      </w:r>
    </w:p>
    <w:p>
      <w:pPr>
        <w:spacing w:after="120" w:line="276"/>
      </w:pPr>
      <w:r>
        <w:rPr>
          <w:rFonts w:ascii="Calibri" w:cs="Calibri" w:eastAsia="Calibri" w:hAnsi="Calibri"/>
          <w:sz w:val="21"/>
          <w:szCs w:val="21"/>
        </w:rPr>
        <w:t xml:space="preserve">This section identifies the legal entity responsible for the processing and the persons accountable for data protection within it.</w:t>
      </w:r>
    </w:p>
    <w:p>
      <w:pPr>
        <w:pStyle w:val="Heading2"/>
      </w:pPr>
      <w:r>
        <w:rPr>
          <w:rFonts w:ascii="Calibri" w:cs="Calibri" w:eastAsia="Calibri" w:hAnsi="Calibri"/>
        </w:rPr>
        <w:t xml:space="preserve">2.1 Legal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Registered name</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[Full corporate name]</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Trading name (if different)</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[Trading name]</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CAC registration number</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[RC / BN / IT number]</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Registered address</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[Street, city, state]</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Sector / industry</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[e.g. financial services, education, health, telecoms]</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Website</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[URL]</w:t>
            </w:r>
          </w:p>
        </w:tc>
      </w:tr>
    </w:tbl>
    <w:p>
      <w:pPr>
        <w:spacing w:after="160"/>
      </w:pPr>
    </w:p>
    <w:p>
      <w:pPr>
        <w:pStyle w:val="Heading2"/>
      </w:pPr>
      <w:r>
        <w:rPr>
          <w:rFonts w:ascii="Calibri" w:cs="Calibri" w:eastAsia="Calibri" w:hAnsi="Calibri"/>
        </w:rPr>
        <w:t xml:space="preserve">2.2 Role in the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Role under the NDPA</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sz w:val="20"/>
                <w:szCs w:val="20"/>
              </w:rPr>
              <w:t xml:space="preserve">☐ Data Controller     ☐ Data Processor     ☐ Joint Controller</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Data Controller / Processor of Major Importance (DCPMI)</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sz w:val="20"/>
                <w:szCs w:val="20"/>
              </w:rPr>
              <w:t xml:space="preserve">☐ Yes     ☐ No     ☐ Under review</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NDPC registration status</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[Registered / Not yet required – reference and date]</w:t>
            </w:r>
          </w:p>
        </w:tc>
      </w:tr>
      <w:t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Third parties pursuing the interest</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 any third party for whose benefit the data is processed, or “None”]</w:t>
            </w:r>
          </w:p>
        </w:tc>
      </w:tr>
    </w:tbl>
    <w:p>
      <w:pPr>
        <w:spacing w:after="160"/>
      </w:pPr>
    </w:p>
    <w:p>
      <w:pPr>
        <w:pStyle w:val="Heading2"/>
      </w:pPr>
      <w:r>
        <w:rPr>
          <w:rFonts w:ascii="Calibri" w:cs="Calibri" w:eastAsia="Calibri" w:hAnsi="Calibri"/>
        </w:rPr>
        <w:t xml:space="preserve">2.3 Data protection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Data Protection Officer</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b/>
                <w:bCs/>
                <w:sz w:val="21"/>
                <w:szCs w:val="21"/>
              </w:rPr>
              <w:t xml:space="preserve">Dr. Ivan Anya, Business Intelligence Technologies Ltd</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DPO contact</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[Email / telephone]</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Senior accountable officer</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 title]</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Business owner of the activity</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 department]</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Most recent compliance audit filing</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[Date and status, if applicable]</w:t>
            </w:r>
          </w:p>
        </w:tc>
      </w:tr>
    </w:tbl>
    <w:p>
      <w:r>
        <w:br w:type="page"/>
      </w:r>
    </w:p>
    <w:p>
      <w:pPr>
        <w:pStyle w:val="Heading1"/>
      </w:pPr>
      <w:r>
        <w:rPr>
          <w:rFonts w:ascii="Calibri" w:cs="Calibri" w:eastAsia="Calibri" w:hAnsi="Calibri"/>
        </w:rPr>
        <w:t xml:space="preserve">3. Processing Activity</w:t>
      </w:r>
    </w:p>
    <w:p>
      <w:pPr>
        <w:spacing w:after="120" w:line="276"/>
      </w:pPr>
      <w:r>
        <w:rPr>
          <w:rFonts w:ascii="Calibri" w:cs="Calibri" w:eastAsia="Calibri" w:hAnsi="Calibri"/>
          <w:sz w:val="21"/>
          <w:szCs w:val="21"/>
        </w:rPr>
        <w:t xml:space="preserve">This section describes the processing in sufficient detail for a reviewer, or the NDPC, to understand what is done, to whom, and why.</w:t>
      </w:r>
    </w:p>
    <w:p>
      <w:pPr>
        <w:pStyle w:val="Heading2"/>
      </w:pPr>
      <w:r>
        <w:rPr>
          <w:rFonts w:ascii="Calibri" w:cs="Calibri" w:eastAsia="Calibri" w:hAnsi="Calibri"/>
        </w:rPr>
        <w:t xml:space="preserve">3.1 Description of the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Activity name</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[e.g. CCTV monitoring of premises / fraud-detection analytics / direct marketing to existing customers]</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Description</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[Describe what is done with the personal data, step by step, in plain language]</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Business function</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[e.g. security, marketing, HR, customer service, IT]</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Systems and tools used</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[Applications, platforms, processors, hosting location]</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Start date / frequency</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[Date; one-off, continuous or periodic]</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Scale of processing</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[Approximate number of data subjects and records]</w:t>
            </w:r>
          </w:p>
        </w:tc>
      </w:tr>
    </w:tbl>
    <w:p>
      <w:pPr>
        <w:spacing w:after="160"/>
      </w:pPr>
    </w:p>
    <w:p>
      <w:pPr>
        <w:pStyle w:val="Heading2"/>
      </w:pPr>
      <w:r>
        <w:rPr>
          <w:rFonts w:ascii="Calibri" w:cs="Calibri" w:eastAsia="Calibri" w:hAnsi="Calibri"/>
        </w:rPr>
        <w:t xml:space="preserve">3.2 Personal data involved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Element</w:t>
            </w:r>
          </w:p>
        </w:tc>
        <w:tc>
          <w:tcPr>
            <w:tcW w:type="dxa" w:w="62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Detail</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Categories of data subjects</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[List]</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Categories of personal data</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[Identifiers, contact data, transactional data, device data, etc.]</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Sensitive personal data?</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p>
              <w:r>
                <w:rPr>
                  <w:rFonts w:ascii="Calibri" w:cs="Calibri" w:eastAsia="Calibri" w:hAnsi="Calibri"/>
                  <w:sz w:val="20"/>
                  <w:szCs w:val="20"/>
                </w:rPr>
                <w:t xml:space="preserve">☐ None     ☐ Yes – stop and reassess     ☐ Possible</w:t>
              </w:r>
            </w:p>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Children’s data?</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p>
              <w:r>
                <w:rPr>
                  <w:rFonts w:ascii="Calibri" w:cs="Calibri" w:eastAsia="Calibri" w:hAnsi="Calibri"/>
                  <w:sz w:val="20"/>
                  <w:szCs w:val="20"/>
                </w:rPr>
                <w:t xml:space="preserve">☐ No     ☐ Yes – enhanced assessment     ☐ Possible</w:t>
              </w:r>
            </w:p>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Source of the data</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[Collected directly / obtained from third party]</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Recipients and disclosures</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[Internal teams, processors, third parties, regulators]</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Cross-border transfer</w:t>
            </w:r>
          </w:p>
        </w:tc>
        <w:tc>
          <w:tcPr>
            <w:tcW w:type="dxa" w:w="6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[None / destination countries and safeguard relied upon]</w:t>
            </w:r>
          </w:p>
        </w:tc>
      </w:tr>
      <w:tr>
        <w:trPr>
          <w:cantSplit/>
        </w:trPr>
        <w:tc>
          <w:tcPr>
            <w:tcW w:type="dxa" w:w="3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Retention period</w:t>
            </w:r>
          </w:p>
        </w:tc>
        <w:tc>
          <w:tcPr>
            <w:tcW w:type="dxa" w:w="6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[Period and justification]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9A400" w:sz="36"/>
              <w:bottom w:val="none" w:color="FFFFFF" w:sz="0"/>
              <w:right w:val="none" w:color="FFFFFF" w:sz="0"/>
            </w:tcBorders>
            <w:shd w:fill="FFF4DB"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Sensitive personal data check</w:t>
            </w:r>
          </w:p>
          <w:p>
            <w:pPr>
              <w:spacing w:after="60" w:line="276"/>
            </w:pPr>
            <w:r>
              <w:rPr>
                <w:rFonts w:ascii="Calibri" w:cs="Calibri" w:eastAsia="Calibri" w:hAnsi="Calibri"/>
                <w:sz w:val="21"/>
                <w:szCs w:val="21"/>
              </w:rPr>
              <w:t xml:space="preserve">Legitimate interest is not an appropriate basis for processing sensitive personal data under Section 30 of the NDPA, which sets its own conditions. If the activity involves such data, this assessment must stop and a different basis and condition must be identified.</w:t>
            </w:r>
          </w:p>
        </w:tc>
      </w:tr>
    </w:tbl>
    <w:p>
      <w:r>
        <w:br w:type="page"/>
      </w:r>
    </w:p>
    <w:p>
      <w:pPr>
        <w:pStyle w:val="Heading1"/>
      </w:pPr>
      <w:r>
        <w:rPr>
          <w:rFonts w:ascii="Calibri" w:cs="Calibri" w:eastAsia="Calibri" w:hAnsi="Calibri"/>
        </w:rPr>
        <w:t xml:space="preserve">4. Legal and Regulatory Framework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Instrument</w:t>
            </w:r>
          </w:p>
        </w:tc>
        <w:tc>
          <w:tcPr>
            <w:tcW w:type="dxa" w:w="64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Relevance to this assessment</w:t>
            </w:r>
          </w:p>
        </w:tc>
      </w:tr>
      <w:tr>
        <w:trPr>
          <w:cantSplit/>
        </w:trPr>
        <w:tc>
          <w:tcPr>
            <w:tcW w:type="dxa" w:w="3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Nigeria Data Protection Act, 2023 – Section 25</w:t>
            </w:r>
          </w:p>
        </w:tc>
        <w:tc>
          <w:tcPr>
            <w:tcW w:type="dxa" w:w="64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Recognises legitimate interest as a lawful basis for processing, and limits it where it is overridden by data subject rights, conflicts with other lawful bases, or falls outside reasonable expectations (s. 25(2)).</w:t>
            </w:r>
          </w:p>
        </w:tc>
      </w:tr>
      <w:tr>
        <w:trPr>
          <w:cantSplit/>
        </w:trPr>
        <w:tc>
          <w:tcPr>
            <w:tcW w:type="dxa" w:w="3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NDPA 2023 – Section 24</w:t>
            </w:r>
          </w:p>
        </w:tc>
        <w:tc>
          <w:tcPr>
            <w:tcW w:type="dxa" w:w="64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Principles of processing: fairness, lawfulness and transparency; purpose limitation; data minimisation; accuracy; storage limitation; security; accountability.</w:t>
            </w:r>
          </w:p>
        </w:tc>
      </w:tr>
      <w:tr>
        <w:trPr>
          <w:cantSplit/>
        </w:trPr>
        <w:tc>
          <w:tcPr>
            <w:tcW w:type="dxa" w:w="3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NDPA 2023 – Section 28</w:t>
            </w:r>
          </w:p>
        </w:tc>
        <w:tc>
          <w:tcPr>
            <w:tcW w:type="dxa" w:w="64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Data Protection Impact Assessment where processing is likely to result in high risk to data subjects.</w:t>
            </w:r>
          </w:p>
        </w:tc>
      </w:tr>
      <w:tr>
        <w:trPr>
          <w:cantSplit/>
        </w:trPr>
        <w:tc>
          <w:tcPr>
            <w:tcW w:type="dxa" w:w="3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NDPA 2023 – Part VI</w:t>
            </w:r>
          </w:p>
        </w:tc>
        <w:tc>
          <w:tcPr>
            <w:tcW w:type="dxa" w:w="64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Rights of data subjects, including access, rectification, erasure and the right to object.</w:t>
            </w:r>
          </w:p>
        </w:tc>
      </w:tr>
      <w:tr>
        <w:trPr>
          <w:cantSplit/>
        </w:trPr>
        <w:tc>
          <w:tcPr>
            <w:tcW w:type="dxa" w:w="32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GAID, 2025</w:t>
            </w:r>
          </w:p>
        </w:tc>
        <w:tc>
          <w:tcPr>
            <w:tcW w:type="dxa" w:w="64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Requires a documented legitimate interest assessment where legitimate interest is relied upon as lawful basis, and sets out compliance measures for controllers and processors. In any inconsistency, the NDPA prevails.</w:t>
            </w:r>
          </w:p>
        </w:tc>
      </w:tr>
    </w:tbl>
    <w:p>
      <w:pPr>
        <w:spacing w:after="120"/>
      </w:pPr>
    </w:p>
    <w:p>
      <w:pPr>
        <w:spacing w:after="120" w:line="276"/>
      </w:pPr>
      <w:r>
        <w:rPr>
          <w:rFonts w:ascii="Calibri" w:cs="Calibri" w:eastAsia="Calibri" w:hAnsi="Calibri"/>
          <w:i/>
          <w:iCs/>
          <w:color w:val="5A6B7B"/>
          <w:sz w:val="21"/>
          <w:szCs w:val="21"/>
        </w:rPr>
        <w:t xml:space="preserve">Assessor note: insert the specific GAID article references and any sector-specific rules (for example financial services, health or telecoms regulations) applicable to this organisation, and confirm all citations against the current gazetted texts before issue.</w:t>
      </w:r>
    </w:p>
    <w:p>
      <w:pPr>
        <w:pStyle w:val="Heading2"/>
      </w:pPr>
      <w:r>
        <w:rPr>
          <w:rFonts w:ascii="Calibri" w:cs="Calibri" w:eastAsia="Calibri" w:hAnsi="Calibri"/>
        </w:rPr>
        <w:t xml:space="preserve">4.1 The three-part test</w:t>
      </w:r>
    </w:p>
    <w:p>
      <w:pPr>
        <w:spacing w:after="120" w:line="276"/>
      </w:pPr>
      <w:r>
        <w:rPr>
          <w:rFonts w:ascii="Calibri" w:cs="Calibri" w:eastAsia="Calibri" w:hAnsi="Calibri"/>
          <w:sz w:val="21"/>
          <w:szCs w:val="21"/>
        </w:rPr>
        <w:t xml:space="preserve">The assessment follows the structure widely accepted for legitimate interest and expected by the NDPC:</w:t>
      </w:r>
    </w:p>
    <w:p>
      <w:pPr>
        <w:pStyle w:val="ListParagraph"/>
        <w:numPr>
          <w:ilvl w:val="0"/>
          <w:numId w:val="2"/>
        </w:numPr>
        <w:spacing w:after="80" w:line="276"/>
      </w:pPr>
      <w:r>
        <w:rPr>
          <w:rFonts w:ascii="Calibri" w:cs="Calibri" w:eastAsia="Calibri" w:hAnsi="Calibri"/>
          <w:b/>
          <w:bCs/>
          <w:sz w:val="21"/>
          <w:szCs w:val="21"/>
        </w:rPr>
        <w:t xml:space="preserve">Purpose test: </w:t>
      </w:r>
      <w:r>
        <w:rPr>
          <w:rFonts w:ascii="Calibri" w:cs="Calibri" w:eastAsia="Calibri" w:hAnsi="Calibri"/>
          <w:sz w:val="21"/>
          <w:szCs w:val="21"/>
        </w:rPr>
        <w:t xml:space="preserve">is a legitimate interest being pursued?</w:t>
      </w:r>
    </w:p>
    <w:p>
      <w:pPr>
        <w:pStyle w:val="ListParagraph"/>
        <w:numPr>
          <w:ilvl w:val="0"/>
          <w:numId w:val="2"/>
        </w:numPr>
        <w:spacing w:after="80" w:line="276"/>
      </w:pPr>
      <w:r>
        <w:rPr>
          <w:rFonts w:ascii="Calibri" w:cs="Calibri" w:eastAsia="Calibri" w:hAnsi="Calibri"/>
          <w:b/>
          <w:bCs/>
          <w:sz w:val="21"/>
          <w:szCs w:val="21"/>
        </w:rPr>
        <w:t xml:space="preserve">Necessity test: </w:t>
      </w:r>
      <w:r>
        <w:rPr>
          <w:rFonts w:ascii="Calibri" w:cs="Calibri" w:eastAsia="Calibri" w:hAnsi="Calibri"/>
          <w:sz w:val="21"/>
          <w:szCs w:val="21"/>
        </w:rPr>
        <w:t xml:space="preserve">is the processing necessary for that interest, and proportionate?</w:t>
      </w:r>
    </w:p>
    <w:p>
      <w:pPr>
        <w:pStyle w:val="ListParagraph"/>
        <w:numPr>
          <w:ilvl w:val="0"/>
          <w:numId w:val="2"/>
        </w:numPr>
        <w:spacing w:after="80" w:line="276"/>
      </w:pPr>
      <w:r>
        <w:rPr>
          <w:rFonts w:ascii="Calibri" w:cs="Calibri" w:eastAsia="Calibri" w:hAnsi="Calibri"/>
          <w:b/>
          <w:bCs/>
          <w:sz w:val="21"/>
          <w:szCs w:val="21"/>
        </w:rPr>
        <w:t xml:space="preserve">Balancing test: </w:t>
      </w:r>
      <w:r>
        <w:rPr>
          <w:rFonts w:ascii="Calibri" w:cs="Calibri" w:eastAsia="Calibri" w:hAnsi="Calibri"/>
          <w:sz w:val="21"/>
          <w:szCs w:val="21"/>
        </w:rPr>
        <w:t xml:space="preserve">do the data subject’s interests, rights and freedoms override that interest?</w:t>
      </w:r>
    </w:p>
    <w:p>
      <w:pPr>
        <w:spacing w:after="120" w:line="276"/>
      </w:pPr>
      <w:r>
        <w:rPr>
          <w:rFonts w:ascii="Calibri" w:cs="Calibri" w:eastAsia="Calibri" w:hAnsi="Calibri"/>
          <w:sz w:val="21"/>
          <w:szCs w:val="21"/>
        </w:rPr>
        <w:t xml:space="preserve">Legitimate interest should not be used where the processing is covered more appropriately by another lawful basis (for example, consent for non-essential marketing or a legal obligation), where sensitive data is involved, or where data subjects would be surprised by the use of their data.</w:t>
      </w:r>
    </w:p>
    <w:p>
      <w:r>
        <w:br w:type="page"/>
      </w:r>
    </w:p>
    <w:p>
      <w:pPr>
        <w:pStyle w:val="Heading1"/>
      </w:pPr>
      <w:r>
        <w:rPr>
          <w:rFonts w:ascii="Calibri" w:cs="Calibri" w:eastAsia="Calibri" w:hAnsi="Calibri"/>
        </w:rPr>
        <w:t xml:space="preserve">5. Part 1 – Purpose Test</w:t>
      </w:r>
    </w:p>
    <w:p>
      <w:pPr>
        <w:spacing w:after="120" w:line="276"/>
      </w:pPr>
      <w:r>
        <w:rPr>
          <w:rFonts w:ascii="Calibri" w:cs="Calibri" w:eastAsia="Calibri" w:hAnsi="Calibri"/>
          <w:sz w:val="21"/>
          <w:szCs w:val="21"/>
        </w:rPr>
        <w:t xml:space="preserve">The purpose test establishes that the organisation (or a third party) has a real and lawful interest, stated specifically enough to be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Question</w:t>
            </w:r>
          </w:p>
        </w:tc>
        <w:tc>
          <w:tcPr>
            <w:tcW w:type="dxa" w:w="58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Assessment</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What is the specific interest being pursued?</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[State precisely, e.g. “prevent and detect fraud on customer accounts”]</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Whose interest is it?</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[The organisation / a named third party / the wider public]</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What benefit does the interest bring, and to whom?</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[Describe the business, customer or societal benefit]</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What would be the impact if the processing did not go ahead?</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[Describe]</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the interest lawful and clearly articulated?</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explain]</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Does any law, code or sector guidance support the interest?</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[Reference, or “None”]</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the interest real and present rather than speculative?</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explain]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6F" w:sz="36"/>
              <w:bottom w:val="none" w:color="FFFFFF" w:sz="0"/>
              <w:right w:val="none" w:color="FFFFFF" w:sz="0"/>
            </w:tcBorders>
            <w:shd w:fill="EEF3F8"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Purpose test outcome</w:t>
            </w:r>
          </w:p>
          <w:p>
            <w:r>
              <w:rPr>
                <w:rFonts w:ascii="Calibri" w:cs="Calibri" w:eastAsia="Calibri" w:hAnsi="Calibri"/>
                <w:sz w:val="20"/>
                <w:szCs w:val="20"/>
              </w:rPr>
              <w:t xml:space="preserve">☐ Met     ☐ Partly met     ☐ Not met</w:t>
            </w:r>
          </w:p>
          <w:p>
            <w:r>
              <w:rPr>
                <w:rFonts w:ascii="Calibri" w:cs="Calibri" w:eastAsia="Calibri" w:hAnsi="Calibri"/>
                <w:i/>
                <w:iCs/>
                <w:color w:val="5A6B7B"/>
                <w:sz w:val="21"/>
                <w:szCs w:val="21"/>
              </w:rPr>
              <w:t xml:space="preserve">Reasoning: [Summarise in two or three sentences.]</w:t>
            </w:r>
          </w:p>
        </w:tc>
      </w:tr>
    </w:tbl>
    <w:p>
      <w:r>
        <w:br w:type="page"/>
      </w:r>
    </w:p>
    <w:p>
      <w:pPr>
        <w:pStyle w:val="Heading1"/>
      </w:pPr>
      <w:r>
        <w:rPr>
          <w:rFonts w:ascii="Calibri" w:cs="Calibri" w:eastAsia="Calibri" w:hAnsi="Calibri"/>
        </w:rPr>
        <w:t xml:space="preserve">6. Part 2 – Necessity Test</w:t>
      </w:r>
    </w:p>
    <w:p>
      <w:pPr>
        <w:spacing w:after="120" w:line="276"/>
      </w:pPr>
      <w:r>
        <w:rPr>
          <w:rFonts w:ascii="Calibri" w:cs="Calibri" w:eastAsia="Calibri" w:hAnsi="Calibri"/>
          <w:sz w:val="21"/>
          <w:szCs w:val="21"/>
        </w:rPr>
        <w:t xml:space="preserve">The necessity test asks whether the processing is a targeted and proportionate way of achieving the purpose, and whether the same result could be reached with less data or less intrusion.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Question</w:t>
            </w:r>
          </w:p>
        </w:tc>
        <w:tc>
          <w:tcPr>
            <w:tcW w:type="dxa" w:w="58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Assessment</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Does the processing actually help achieve the interest?</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[Explain the link between the data and the outcome]</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there a less intrusive way to achieve the same result?</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[Alternatives considered and why rejected]</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Can the purpose be met with anonymised or pseudonymised data?</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explain]</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each data element necessary (data minimisation)?</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[Confirm and justify each category]</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the retention period no longer than needed?</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[Period and justification]</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access limited to those who need it?</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[Roles and controls]</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Would another lawful basis be more appropriate?</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[Consent / contract / legal obligation – explain why not]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6F" w:sz="36"/>
              <w:bottom w:val="none" w:color="FFFFFF" w:sz="0"/>
              <w:right w:val="none" w:color="FFFFFF" w:sz="0"/>
            </w:tcBorders>
            <w:shd w:fill="EEF3F8"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Necessity test outcome</w:t>
            </w:r>
          </w:p>
          <w:p>
            <w:r>
              <w:rPr>
                <w:rFonts w:ascii="Calibri" w:cs="Calibri" w:eastAsia="Calibri" w:hAnsi="Calibri"/>
                <w:sz w:val="20"/>
                <w:szCs w:val="20"/>
              </w:rPr>
              <w:t xml:space="preserve">☐ Met     ☐ Partly met     ☐ Not met</w:t>
            </w:r>
          </w:p>
          <w:p>
            <w:r>
              <w:rPr>
                <w:rFonts w:ascii="Calibri" w:cs="Calibri" w:eastAsia="Calibri" w:hAnsi="Calibri"/>
                <w:i/>
                <w:iCs/>
                <w:color w:val="5A6B7B"/>
                <w:sz w:val="21"/>
                <w:szCs w:val="21"/>
              </w:rPr>
              <w:t xml:space="preserve">Reasoning: [Summarise in two or three sentences.]</w:t>
            </w:r>
          </w:p>
        </w:tc>
      </w:tr>
    </w:tbl>
    <w:p>
      <w:r>
        <w:br w:type="page"/>
      </w:r>
    </w:p>
    <w:p>
      <w:pPr>
        <w:pStyle w:val="Heading1"/>
      </w:pPr>
      <w:r>
        <w:rPr>
          <w:rFonts w:ascii="Calibri" w:cs="Calibri" w:eastAsia="Calibri" w:hAnsi="Calibri"/>
        </w:rPr>
        <w:t xml:space="preserve">7. Part 3 – Balancing Test</w:t>
      </w:r>
    </w:p>
    <w:p>
      <w:pPr>
        <w:spacing w:after="120" w:line="276"/>
      </w:pPr>
      <w:r>
        <w:rPr>
          <w:rFonts w:ascii="Calibri" w:cs="Calibri" w:eastAsia="Calibri" w:hAnsi="Calibri"/>
          <w:sz w:val="21"/>
          <w:szCs w:val="21"/>
        </w:rPr>
        <w:t xml:space="preserve">The balancing test weighs the organisation’s interest against the interests, fundamental rights and freedoms of the people whose data is processed. If those rights outweigh the interest, legitimate interest cannot be used.</w:t>
      </w:r>
    </w:p>
    <w:p>
      <w:pPr>
        <w:pStyle w:val="Heading2"/>
      </w:pPr>
      <w:r>
        <w:rPr>
          <w:rFonts w:ascii="Calibri" w:cs="Calibri" w:eastAsia="Calibri" w:hAnsi="Calibri"/>
        </w:rPr>
        <w:t xml:space="preserve">7.1 Nature of the data and the relationship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Factor</w:t>
            </w:r>
          </w:p>
        </w:tc>
        <w:tc>
          <w:tcPr>
            <w:tcW w:type="dxa" w:w="58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Assessment</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Relationship with data subjects</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[Customer, employee, member, public, etc.]</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the data private, financial, location or behavioural in nature?</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[Describe sensitivity]</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Are vulnerable individuals or children affected?</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explain]</w:t>
            </w:r>
          </w:p>
        </w:tc>
      </w:tr>
    </w:tbl>
    <w:p>
      <w:pPr>
        <w:spacing w:after="40"/>
      </w:pPr>
    </w:p>
    <w:p>
      <w:pPr>
        <w:pStyle w:val="Heading2"/>
      </w:pPr>
      <w:r>
        <w:rPr>
          <w:rFonts w:ascii="Calibri" w:cs="Calibri" w:eastAsia="Calibri" w:hAnsi="Calibri"/>
        </w:rPr>
        <w:t xml:space="preserve">7.2 Reasonable expectations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Factor</w:t>
            </w:r>
          </w:p>
        </w:tc>
        <w:tc>
          <w:tcPr>
            <w:tcW w:type="dxa" w:w="58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Assessment</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Would data subjects reasonably expect this processing at the time of collection?</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explain with reference to the notice given]</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Has the activity been explained in the privacy notice?</w:t>
            </w:r>
          </w:p>
        </w:tc>
        <w:tc>
          <w:tcPr>
            <w:tcW w:type="dxa" w:w="58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reference]</w:t>
            </w:r>
          </w:p>
        </w:tc>
      </w:tr>
      <w:tr>
        <w:trPr>
          <w:cantSplit/>
        </w:trPr>
        <w:tc>
          <w:tcPr>
            <w:tcW w:type="dxa" w:w="38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Is the use consistent with the original purpose of collection?</w:t>
            </w:r>
          </w:p>
        </w:tc>
        <w:tc>
          <w:tcPr>
            <w:tcW w:type="dxa" w:w="58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[Yes / No – explain]</w:t>
            </w:r>
          </w:p>
        </w:tc>
      </w:tr>
    </w:tbl>
    <w:p>
      <w:pPr>
        <w:spacing w:after="40"/>
      </w:pPr>
    </w:p>
    <w:p>
      <w:pPr>
        <w:pStyle w:val="Heading2"/>
      </w:pPr>
      <w:r>
        <w:rPr>
          <w:rFonts w:ascii="Calibri" w:cs="Calibri" w:eastAsia="Calibri" w:hAnsi="Calibri"/>
        </w:rPr>
        <w:t xml:space="preserve">7.3 Likely impact on data subjects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Potential impact</w:t>
            </w:r>
          </w:p>
        </w:tc>
        <w:tc>
          <w:tcPr>
            <w:tcW w:type="dxa" w:w="25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Likelihood</w:t>
            </w:r>
          </w:p>
        </w:tc>
        <w:tc>
          <w:tcPr>
            <w:tcW w:type="dxa" w:w="25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Severity</w:t>
            </w:r>
          </w:p>
        </w:tc>
      </w:tr>
      <w:tr>
        <w:trPr>
          <w:cantSplit/>
        </w:trPr>
        <w:tc>
          <w:tcPr>
            <w:tcW w:type="dxa" w:w="4638"/>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Loss of privacy or intrusion</w:t>
            </w:r>
          </w:p>
        </w:tc>
        <w:tc>
          <w:tcPr>
            <w:tcW w:type="dxa" w:w="25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c>
          <w:tcPr>
            <w:tcW w:type="dxa" w:w="25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r>
      <w:tr>
        <w:trPr>
          <w:cantSplit/>
        </w:trPr>
        <w:tc>
          <w:tcPr>
            <w:tcW w:type="dxa" w:w="4638"/>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Unfair or discriminatory outcome</w:t>
            </w:r>
          </w:p>
        </w:tc>
        <w:tc>
          <w:tcPr>
            <w:tcW w:type="dxa" w:w="25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c>
          <w:tcPr>
            <w:tcW w:type="dxa" w:w="25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r>
      <w:tr>
        <w:trPr>
          <w:cantSplit/>
        </w:trPr>
        <w:tc>
          <w:tcPr>
            <w:tcW w:type="dxa" w:w="4638"/>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Financial harm or loss of opportunity</w:t>
            </w:r>
          </w:p>
        </w:tc>
        <w:tc>
          <w:tcPr>
            <w:tcW w:type="dxa" w:w="25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c>
          <w:tcPr>
            <w:tcW w:type="dxa" w:w="25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r>
      <w:tr>
        <w:trPr>
          <w:cantSplit/>
        </w:trPr>
        <w:tc>
          <w:tcPr>
            <w:tcW w:type="dxa" w:w="4638"/>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Distress or loss of control over personal data</w:t>
            </w:r>
          </w:p>
        </w:tc>
        <w:tc>
          <w:tcPr>
            <w:tcW w:type="dxa" w:w="25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c>
          <w:tcPr>
            <w:tcW w:type="dxa" w:w="25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Low / Med / High</w:t>
            </w:r>
          </w:p>
        </w:tc>
      </w:tr>
    </w:tbl>
    <w:p>
      <w:pPr>
        <w:spacing w:after="40"/>
      </w:pPr>
    </w:p>
    <w:p>
      <w:pPr>
        <w:pStyle w:val="Heading2"/>
      </w:pPr>
      <w:r>
        <w:rPr>
          <w:rFonts w:ascii="Calibri" w:cs="Calibri" w:eastAsia="Calibri" w:hAnsi="Calibri"/>
        </w:rPr>
        <w:t xml:space="preserve">7.4 Balance</w:t>
      </w:r>
    </w:p>
    <w:p>
      <w:pPr>
        <w:spacing w:after="120" w:line="276"/>
      </w:pPr>
      <w:r>
        <w:rPr>
          <w:rFonts w:ascii="Calibri" w:cs="Calibri" w:eastAsia="Calibri" w:hAnsi="Calibri"/>
          <w:i/>
          <w:iCs/>
          <w:color w:val="5A6B7B"/>
          <w:sz w:val="21"/>
          <w:szCs w:val="21"/>
        </w:rPr>
        <w:t xml:space="preserve">[Explain how the organisation’s interest compares with the impact identified above, taking into account the safeguards in Section 8 that reduce that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6F" w:sz="36"/>
              <w:bottom w:val="none" w:color="FFFFFF" w:sz="0"/>
              <w:right w:val="none" w:color="FFFFFF" w:sz="0"/>
            </w:tcBorders>
            <w:shd w:fill="EEF3F8"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Balancing test outcome</w:t>
            </w:r>
          </w:p>
          <w:p>
            <w:r>
              <w:rPr>
                <w:rFonts w:ascii="Calibri" w:cs="Calibri" w:eastAsia="Calibri" w:hAnsi="Calibri"/>
                <w:sz w:val="20"/>
                <w:szCs w:val="20"/>
              </w:rPr>
              <w:t xml:space="preserve">☐ Met     ☐ Met with safeguards     ☐ Not met</w:t>
            </w:r>
          </w:p>
          <w:p>
            <w:r>
              <w:rPr>
                <w:rFonts w:ascii="Calibri" w:cs="Calibri" w:eastAsia="Calibri" w:hAnsi="Calibri"/>
                <w:i/>
                <w:iCs/>
                <w:color w:val="5A6B7B"/>
                <w:sz w:val="21"/>
                <w:szCs w:val="21"/>
              </w:rPr>
              <w:t xml:space="preserve">Reasoning: [Summarise in two or three sentences.]</w:t>
            </w:r>
          </w:p>
        </w:tc>
      </w:tr>
    </w:tbl>
    <w:p>
      <w:r>
        <w:br w:type="page"/>
      </w:r>
    </w:p>
    <w:p>
      <w:pPr>
        <w:pStyle w:val="Heading1"/>
      </w:pPr>
      <w:r>
        <w:rPr>
          <w:rFonts w:ascii="Calibri" w:cs="Calibri" w:eastAsia="Calibri" w:hAnsi="Calibri"/>
        </w:rPr>
        <w:t xml:space="preserve">8. Safeguards and Mitigation</w:t>
      </w:r>
    </w:p>
    <w:p>
      <w:pPr>
        <w:spacing w:after="120" w:line="276"/>
      </w:pPr>
      <w:r>
        <w:rPr>
          <w:rFonts w:ascii="Calibri" w:cs="Calibri" w:eastAsia="Calibri" w:hAnsi="Calibri"/>
          <w:sz w:val="21"/>
          <w:szCs w:val="21"/>
        </w:rPr>
        <w:t xml:space="preserve">These measures reduce the impact on data subjects and support the conclusion of the balancing test. Each must have an owner and a due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38"/>
        <w:gridCol w:w="2400"/>
      </w:tblGrid>
      <w:tr>
        <w:trPr>
          <w:tblHeader/>
        </w:trPr>
        <w:tc>
          <w:tcPr>
            <w:tcW w:type="dxa" w:w="30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Safeguard</w:t>
            </w:r>
          </w:p>
        </w:tc>
        <w:tc>
          <w:tcPr>
            <w:tcW w:type="dxa" w:w="42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Implementation</w:t>
            </w:r>
          </w:p>
        </w:tc>
        <w:tc>
          <w:tcPr>
            <w:tcW w:type="dxa" w:w="24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Owner / due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Transparency</w:t>
            </w:r>
          </w:p>
        </w:tc>
        <w:tc>
          <w:tcPr>
            <w:tcW w:type="dxa" w:w="4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 the legitimate interest in the privacy notice; give notice at or before collection.</w:t>
            </w:r>
          </w:p>
        </w:tc>
        <w:tc>
          <w:tcPr>
            <w:tcW w:type="dxa" w:w="24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Right to object</w:t>
            </w:r>
          </w:p>
        </w:tc>
        <w:tc>
          <w:tcPr>
            <w:tcW w:type="dxa" w:w="4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Simple opt-out or objection route; objections assessed and recorded; processing stopped unless compelling grounds are shown.</w:t>
            </w:r>
          </w:p>
        </w:tc>
        <w:tc>
          <w:tcPr>
            <w:tcW w:type="dxa" w:w="24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Data minimisation</w:t>
            </w:r>
          </w:p>
        </w:tc>
        <w:tc>
          <w:tcPr>
            <w:tcW w:type="dxa" w:w="4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Collect only the data identified in Section 6; pseudonymise where possible.</w:t>
            </w:r>
          </w:p>
        </w:tc>
        <w:tc>
          <w:tcPr>
            <w:tcW w:type="dxa" w:w="24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Retention</w:t>
            </w:r>
          </w:p>
        </w:tc>
        <w:tc>
          <w:tcPr>
            <w:tcW w:type="dxa" w:w="4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Defined retention schedule with automatic deletion or review.</w:t>
            </w:r>
          </w:p>
        </w:tc>
        <w:tc>
          <w:tcPr>
            <w:tcW w:type="dxa" w:w="24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Security</w:t>
            </w:r>
          </w:p>
        </w:tc>
        <w:tc>
          <w:tcPr>
            <w:tcW w:type="dxa" w:w="4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Access controls, encryption, logging and staff training appropriate to the risk.</w:t>
            </w:r>
          </w:p>
        </w:tc>
        <w:tc>
          <w:tcPr>
            <w:tcW w:type="dxa" w:w="24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Processor oversight</w:t>
            </w:r>
          </w:p>
        </w:tc>
        <w:tc>
          <w:tcPr>
            <w:tcW w:type="dxa" w:w="4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Written data processing agreements in place with all processors.</w:t>
            </w:r>
          </w:p>
        </w:tc>
        <w:tc>
          <w:tcPr>
            <w:tcW w:type="dxa" w:w="24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Breach readiness</w:t>
            </w:r>
          </w:p>
        </w:tc>
        <w:tc>
          <w:tcPr>
            <w:tcW w:type="dxa" w:w="42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Breach response procedure aligned to NDPC notification timelines.</w:t>
            </w:r>
          </w:p>
        </w:tc>
        <w:tc>
          <w:tcPr>
            <w:tcW w:type="dxa" w:w="24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r>
        <w:trPr>
          <w:cantSplit/>
        </w:trPr>
        <w:tc>
          <w:tcPr>
            <w:tcW w:type="dxa" w:w="30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Monitoring</w:t>
            </w:r>
          </w:p>
        </w:tc>
        <w:tc>
          <w:tcPr>
            <w:tcW w:type="dxa" w:w="4238"/>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Periodic checks that processing remains within the assessed scope.</w:t>
            </w:r>
          </w:p>
        </w:tc>
        <w:tc>
          <w:tcPr>
            <w:tcW w:type="dxa" w:w="2400"/>
            <w:tcBorders>
              <w:top w:val="single" w:color="D6E0EB" w:sz="4"/>
              <w:left w:val="single" w:color="D6E0EB" w:sz="4"/>
              <w:bottom w:val="single" w:color="D6E0EB" w:sz="4"/>
              <w:right w:val="single" w:color="D6E0EB" w:sz="4"/>
            </w:tcBorders>
            <w:shd w:fill="FAFCFE" w:color="auto" w:val="clear"/>
            <w:tcMar>
              <w:top w:type="dxa" w:w="90"/>
              <w:left w:type="dxa" w:w="130"/>
              <w:bottom w:type="dxa" w:w="90"/>
              <w:right w:type="dxa" w:w="130"/>
            </w:tcMar>
            <w:vAlign w:val="center"/>
          </w:tcPr>
          <w:p>
            <w:r>
              <w:rPr>
                <w:rFonts w:ascii="Calibri" w:cs="Calibri" w:eastAsia="Calibri" w:hAnsi="Calibri"/>
                <w:i/>
                <w:iCs/>
                <w:color w:val="5A6B7B"/>
                <w:sz w:val="21"/>
                <w:szCs w:val="21"/>
              </w:rPr>
              <w:t xml:space="preserve">[Owner / date]</w:t>
            </w:r>
          </w:p>
        </w:tc>
      </w:tr>
    </w:tbl>
    <w:p>
      <w:pPr>
        <w:spacing w:after="200"/>
      </w:pPr>
    </w:p>
    <w:p>
      <w:pPr>
        <w:pStyle w:val="Heading1"/>
      </w:pPr>
      <w:r>
        <w:rPr>
          <w:rFonts w:ascii="Calibri" w:cs="Calibri" w:eastAsia="Calibri" w:hAnsi="Calibri"/>
        </w:rPr>
        <w:t xml:space="preserve">9. Data Subject Rights and Transparency</w:t>
      </w:r>
    </w:p>
    <w:p>
      <w:pPr>
        <w:pStyle w:val="ListParagraph"/>
        <w:numPr>
          <w:ilvl w:val="0"/>
          <w:numId w:val="2"/>
        </w:numPr>
        <w:spacing w:after="80" w:line="276"/>
      </w:pPr>
      <w:r>
        <w:rPr>
          <w:rFonts w:ascii="Calibri" w:cs="Calibri" w:eastAsia="Calibri" w:hAnsi="Calibri"/>
          <w:sz w:val="21"/>
          <w:szCs w:val="21"/>
        </w:rPr>
        <w:t xml:space="preserve">Data subjects are informed of the processing, the legitimate interest relied upon, the retention period and their rights.</w:t>
      </w:r>
    </w:p>
    <w:p>
      <w:pPr>
        <w:pStyle w:val="ListParagraph"/>
        <w:numPr>
          <w:ilvl w:val="0"/>
          <w:numId w:val="2"/>
        </w:numPr>
        <w:spacing w:after="80" w:line="276"/>
      </w:pPr>
      <w:r>
        <w:rPr>
          <w:rFonts w:ascii="Calibri" w:cs="Calibri" w:eastAsia="Calibri" w:hAnsi="Calibri"/>
          <w:sz w:val="21"/>
          <w:szCs w:val="21"/>
        </w:rPr>
        <w:t xml:space="preserve">Requests for access, rectification, erasure and objection are routed to the DPO and answered within the statutory period.</w:t>
      </w:r>
    </w:p>
    <w:p>
      <w:pPr>
        <w:pStyle w:val="ListParagraph"/>
        <w:numPr>
          <w:ilvl w:val="0"/>
          <w:numId w:val="2"/>
        </w:numPr>
        <w:spacing w:after="80" w:line="276"/>
      </w:pPr>
      <w:r>
        <w:rPr>
          <w:rFonts w:ascii="Calibri" w:cs="Calibri" w:eastAsia="Calibri" w:hAnsi="Calibri"/>
          <w:sz w:val="21"/>
          <w:szCs w:val="21"/>
        </w:rPr>
        <w:t xml:space="preserve">Where a data subject objects, the organisation reassesses the balance in the individual’s case and records the decision.</w:t>
      </w:r>
    </w:p>
    <w:p>
      <w:pPr>
        <w:pStyle w:val="ListParagraph"/>
        <w:numPr>
          <w:ilvl w:val="0"/>
          <w:numId w:val="2"/>
        </w:numPr>
        <w:spacing w:after="80" w:line="276"/>
      </w:pPr>
      <w:r>
        <w:rPr>
          <w:rFonts w:ascii="Calibri" w:cs="Calibri" w:eastAsia="Calibri" w:hAnsi="Calibri"/>
          <w:sz w:val="21"/>
          <w:szCs w:val="21"/>
        </w:rPr>
        <w:t xml:space="preserve">Where legitimate interest is later found not to apply, processing stops and the organisation moves to a valid basis such as consent.</w:t>
      </w:r>
    </w:p>
    <w:p>
      <w:r>
        <w:br w:type="page"/>
      </w:r>
    </w:p>
    <w:p>
      <w:pPr>
        <w:pStyle w:val="Heading1"/>
      </w:pPr>
      <w:r>
        <w:rPr>
          <w:rFonts w:ascii="Calibri" w:cs="Calibri" w:eastAsia="Calibri" w:hAnsi="Calibri"/>
        </w:rPr>
        <w:t xml:space="preserve">10. Decision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3806F" w:sz="36"/>
              <w:bottom w:val="none" w:color="FFFFFF" w:sz="0"/>
              <w:right w:val="none" w:color="FFFFFF" w:sz="0"/>
            </w:tcBorders>
            <w:shd w:fill="EEF3F8" w:color="auto" w:val="clear"/>
            <w:tcMar>
              <w:top w:type="dxa" w:w="140"/>
              <w:left w:type="dxa" w:w="220"/>
              <w:bottom w:type="dxa" w:w="140"/>
              <w:right w:type="dxa" w:w="200"/>
            </w:tcMar>
          </w:tcPr>
          <w:p>
            <w:pPr>
              <w:spacing w:after="80"/>
            </w:pPr>
            <w:r>
              <w:rPr>
                <w:rFonts w:ascii="Calibri" w:cs="Calibri" w:eastAsia="Calibri" w:hAnsi="Calibri"/>
                <w:b/>
                <w:bCs/>
                <w:color w:val="0B2545"/>
                <w:sz w:val="22"/>
                <w:szCs w:val="22"/>
              </w:rPr>
              <w:t xml:space="preserve">Decision</w:t>
            </w:r>
          </w:p>
          <w:p>
            <w:r>
              <w:rPr>
                <w:rFonts w:ascii="Calibri" w:cs="Calibri" w:eastAsia="Calibri" w:hAnsi="Calibri"/>
                <w:b/>
                <w:bCs/>
                <w:sz w:val="21"/>
                <w:szCs w:val="21"/>
              </w:rPr>
              <w:t xml:space="preserve">Legitimate interest as lawful basis for processing:</w:t>
            </w:r>
          </w:p>
          <w:p>
            <w:r>
              <w:rPr>
                <w:rFonts w:ascii="Calibri" w:cs="Calibri" w:eastAsia="Calibri" w:hAnsi="Calibri"/>
                <w:sz w:val="20"/>
                <w:szCs w:val="20"/>
              </w:rPr>
              <w:t xml:space="preserve">☐ Approved     ☐ Approved with conditions     ☐ Rejected</w:t>
            </w:r>
          </w:p>
          <w:p>
            <w:pPr>
              <w:spacing w:before="80"/>
            </w:pPr>
            <w:r>
              <w:rPr>
                <w:rFonts w:ascii="Calibri" w:cs="Calibri" w:eastAsia="Calibri" w:hAnsi="Calibri"/>
                <w:i/>
                <w:iCs/>
                <w:color w:val="5A6B7B"/>
                <w:sz w:val="21"/>
                <w:szCs w:val="21"/>
              </w:rPr>
              <w:t xml:space="preserve">Conditions (if any): [List]</w:t>
            </w:r>
          </w:p>
        </w:tc>
      </w:tr>
    </w:tbl>
    <w:p>
      <w:pPr>
        <w:spacing w:after="200"/>
      </w:pPr>
    </w:p>
    <w:p>
      <w:pPr>
        <w:pStyle w:val="Heading2"/>
      </w:pPr>
      <w:r>
        <w:rPr>
          <w:rFonts w:ascii="Calibri" w:cs="Calibri" w:eastAsia="Calibri" w:hAnsi="Calibri"/>
        </w:rPr>
        <w:t xml:space="preserve">10.1 Review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Next full review</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[Date – not later than 12 months from approval]</w:t>
            </w:r>
          </w:p>
        </w:tc>
      </w:tr>
      <w:tr>
        <w:tc>
          <w:tcPr>
            <w:tcW w:type="dxa" w:w="29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Triggers for earlier review</w:t>
            </w:r>
          </w:p>
        </w:tc>
        <w:tc>
          <w:tcPr>
            <w:tcW w:type="dxa" w:w="67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Change of purpose, data categories, recipients, technology or location; a data breach; a complaint or objection trend; regulatory change.</w:t>
            </w:r>
          </w:p>
        </w:tc>
      </w:tr>
    </w:tbl>
    <w:p>
      <w:pPr>
        <w:spacing w:after="200"/>
      </w:pPr>
    </w:p>
    <w:p>
      <w:pPr>
        <w:pStyle w:val="Heading2"/>
      </w:pPr>
      <w:r>
        <w:rPr>
          <w:rFonts w:ascii="Calibri" w:cs="Calibri" w:eastAsia="Calibri" w:hAnsi="Calibri"/>
        </w:rPr>
        <w:t xml:space="preserve">10.2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38"/>
        <w:gridCol w:w="2000"/>
      </w:tblGrid>
      <w:tr>
        <w:tc>
          <w:tcPr>
            <w:tcW w:type="dxa" w:w="24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Role</w:t>
            </w:r>
          </w:p>
        </w:tc>
        <w:tc>
          <w:tcPr>
            <w:tcW w:type="dxa" w:w="26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Name</w:t>
            </w:r>
          </w:p>
        </w:tc>
        <w:tc>
          <w:tcPr>
            <w:tcW w:type="dxa" w:w="2638"/>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Signature</w:t>
            </w:r>
          </w:p>
        </w:tc>
        <w:tc>
          <w:tcPr>
            <w:tcW w:type="dxa" w:w="2000"/>
            <w:tcBorders>
              <w:top w:val="single" w:color="D6E0EB" w:sz="4"/>
              <w:left w:val="single" w:color="D6E0EB" w:sz="4"/>
              <w:bottom w:val="single" w:color="D6E0EB" w:sz="4"/>
              <w:right w:val="single" w:color="D6E0EB" w:sz="4"/>
            </w:tcBorders>
            <w:shd w:fill="0B2545" w:color="auto" w:val="clear"/>
            <w:tcMar>
              <w:top w:type="dxa" w:w="90"/>
              <w:left w:type="dxa" w:w="130"/>
              <w:bottom w:type="dxa" w:w="90"/>
              <w:right w:type="dxa" w:w="130"/>
            </w:tcMar>
            <w:vAlign w:val="center"/>
          </w:tcPr>
          <w:p>
            <w:r>
              <w:rPr>
                <w:rFonts w:ascii="Calibri" w:cs="Calibri" w:eastAsia="Calibri" w:hAnsi="Calibri"/>
                <w:b/>
                <w:bCs/>
                <w:color w:val="FFFFFF"/>
                <w:sz w:val="20"/>
                <w:szCs w:val="20"/>
              </w:rPr>
              <w:t xml:space="preserve">Date</w:t>
            </w:r>
          </w:p>
        </w:tc>
      </w:tr>
      <w:tr>
        <w:trPr>
          <w:trHeight w:val="800" w:hRule="atLeast"/>
        </w:trPr>
        <w:tc>
          <w:tcPr>
            <w:tcW w:type="dxa" w:w="2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Data Protection Officer</w:t>
            </w:r>
          </w:p>
        </w:tc>
        <w:tc>
          <w:tcPr>
            <w:tcW w:type="dxa" w:w="26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sz w:val="21"/>
                <w:szCs w:val="21"/>
              </w:rPr>
              <w:t xml:space="preserve">Dr. Ivan Anya</w:t>
            </w:r>
          </w:p>
        </w:tc>
        <w:tc>
          <w:tcPr>
            <w:tcW w:type="dxa" w:w="2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tc>
        <w:tc>
          <w:tcPr>
            <w:tcW w:type="dxa" w:w="20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tc>
      </w:tr>
      <w:tr>
        <w:trPr>
          <w:trHeight w:val="800" w:hRule="atLeast"/>
        </w:trPr>
        <w:tc>
          <w:tcPr>
            <w:tcW w:type="dxa" w:w="2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Business owner</w:t>
            </w:r>
          </w:p>
        </w:tc>
        <w:tc>
          <w:tcPr>
            <w:tcW w:type="dxa" w:w="26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w:t>
            </w:r>
          </w:p>
        </w:tc>
        <w:tc>
          <w:tcPr>
            <w:tcW w:type="dxa" w:w="2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tc>
        <w:tc>
          <w:tcPr>
            <w:tcW w:type="dxa" w:w="20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tc>
      </w:tr>
      <w:tr>
        <w:trPr>
          <w:trHeight w:val="800" w:hRule="atLeast"/>
        </w:trPr>
        <w:tc>
          <w:tcPr>
            <w:tcW w:type="dxa" w:w="2400"/>
            <w:tcBorders>
              <w:top w:val="single" w:color="D6E0EB" w:sz="4"/>
              <w:left w:val="single" w:color="D6E0EB" w:sz="4"/>
              <w:bottom w:val="single" w:color="D6E0EB" w:sz="4"/>
              <w:right w:val="single" w:color="D6E0EB" w:sz="4"/>
            </w:tcBorders>
            <w:shd w:fill="EEF3F8" w:color="auto" w:val="clear"/>
            <w:tcMar>
              <w:top w:type="dxa" w:w="90"/>
              <w:left w:type="dxa" w:w="130"/>
              <w:bottom w:type="dxa" w:w="90"/>
              <w:right w:type="dxa" w:w="130"/>
            </w:tcMar>
            <w:vAlign w:val="center"/>
          </w:tcPr>
          <w:p>
            <w:r>
              <w:rPr>
                <w:rFonts w:ascii="Calibri" w:cs="Calibri" w:eastAsia="Calibri" w:hAnsi="Calibri"/>
                <w:b/>
                <w:bCs/>
                <w:color w:val="0B2545"/>
                <w:sz w:val="21"/>
                <w:szCs w:val="21"/>
              </w:rPr>
              <w:t xml:space="preserve">Senior management</w:t>
            </w:r>
          </w:p>
        </w:tc>
        <w:tc>
          <w:tcPr>
            <w:tcW w:type="dxa" w:w="26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r>
              <w:rPr>
                <w:rFonts w:ascii="Calibri" w:cs="Calibri" w:eastAsia="Calibri" w:hAnsi="Calibri"/>
                <w:i/>
                <w:iCs/>
                <w:color w:val="5A6B7B"/>
                <w:sz w:val="21"/>
                <w:szCs w:val="21"/>
              </w:rPr>
              <w:t xml:space="preserve">[Name]</w:t>
            </w:r>
          </w:p>
        </w:tc>
        <w:tc>
          <w:tcPr>
            <w:tcW w:type="dxa" w:w="2638"/>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tc>
        <w:tc>
          <w:tcPr>
            <w:tcW w:type="dxa" w:w="2000"/>
            <w:tcBorders>
              <w:top w:val="single" w:color="D6E0EB" w:sz="4"/>
              <w:left w:val="single" w:color="D6E0EB" w:sz="4"/>
              <w:bottom w:val="single" w:color="D6E0EB" w:sz="4"/>
              <w:right w:val="single" w:color="D6E0EB" w:sz="4"/>
            </w:tcBorders>
            <w:tcMar>
              <w:top w:type="dxa" w:w="90"/>
              <w:left w:type="dxa" w:w="130"/>
              <w:bottom w:type="dxa" w:w="90"/>
              <w:right w:type="dxa" w:w="130"/>
            </w:tcMar>
            <w:vAlign w:val="center"/>
          </w:tcPr>
          <w:p/>
        </w:tc>
      </w:tr>
    </w:tbl>
    <w:sectPr>
      <w:headerReference w:type="default" r:id="rId7"/>
      <w:headerReference w:type="first" r:id="rId8"/>
      <w:footerReference w:type="default" r:id="rId9"/>
      <w:footerReference w:type="first" r:id="rId10"/>
      <w:pgSz w:w="11906" w:h="16838" w:orient="portrait"/>
      <w:pgMar w:top="1300" w:right="1134" w:bottom="1200"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7"/>
        <w:szCs w:val="17"/>
      </w:rPr>
      <w:t xml:space="preserve">NDPA 2023 / GAID 2025   •   Page </w:t>
    </w:r>
    <w:r>
      <w:rPr>
        <w:rFonts w:ascii="Calibri" w:cs="Calibri" w:eastAsia="Calibri" w:hAnsi="Calibri"/>
        <w:color w:val="5A6B7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B" w:sz="4" w:space="4"/>
      </w:pBdr>
      <w:jc w:val="right"/>
    </w:pPr>
    <w:r>
      <w:rPr>
        <w:rFonts w:ascii="Calibri" w:cs="Calibri" w:eastAsia="Calibri" w:hAnsi="Calibri"/>
        <w:color w:val="5A6B7B"/>
        <w:sz w:val="17"/>
        <w:szCs w:val="17"/>
      </w:rPr>
      <w:t xml:space="preserve">Legitimate Interest Assessment Report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806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3806F" w:sz="12" w:space="6"/>
      </w:pBdr>
      <w:spacing w:after="200" w:before="120"/>
      <w:outlineLvl w:val="0"/>
    </w:pPr>
    <w:rPr>
      <w:rFonts w:ascii="Calibri" w:cs="Calibri" w:eastAsia="Calibri" w:hAnsi="Calibri"/>
      <w:b/>
      <w:bCs/>
      <w:color w:val="0B2545"/>
      <w:sz w:val="36"/>
      <w:szCs w:val="36"/>
    </w:rPr>
  </w:style>
  <w:style w:type="paragraph" w:styleId="Heading2">
    <w:name w:val="Heading 2"/>
    <w:basedOn w:val="Normal"/>
    <w:next w:val="Normal"/>
    <w:qFormat/>
    <w:pPr>
      <w:keepNext/>
      <w:spacing w:after="120" w:before="220"/>
      <w:outlineLvl w:val="1"/>
    </w:pPr>
    <w:rPr>
      <w:rFonts w:ascii="Calibri" w:cs="Calibri" w:eastAsia="Calibri" w:hAnsi="Calibri"/>
      <w:b/>
      <w:bCs/>
      <w:color w:val="1380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Legitimate Interest Assessment Report</dc:title>
  <dc:creator>Dr. Ivan Anya</dc:creator>
  <cp:lastModifiedBy>Un-named</cp:lastModifiedBy>
  <cp:revision>1</cp:revision>
  <dcterms:created xsi:type="dcterms:W3CDTF">2026-10-08T11:40:17.007Z</dcterms:created>
  <dcterms:modified xsi:type="dcterms:W3CDTF">2026-10-08T11:40:17.008Z</dcterms:modified>
</cp:coreProperties>
</file>

<file path=docProps/custom.xml><?xml version="1.0" encoding="utf-8"?>
<Properties xmlns="http://schemas.openxmlformats.org/officeDocument/2006/custom-properties" xmlns:vt="http://schemas.openxmlformats.org/officeDocument/2006/docPropsVTypes"/>
</file>