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 xml:space="preserve">Las historias de usuario </w:t>
      </w:r>
      <w:r w:rsidRPr="00282075">
        <w:rPr>
          <w:rFonts w:cs="Times New Roman"/>
          <w:color w:val="FF0066"/>
          <w:szCs w:val="24"/>
        </w:rPr>
        <w:t xml:space="preserve">(HU) </w:t>
      </w:r>
      <w:r w:rsidRPr="00282075">
        <w:rPr>
          <w:rFonts w:cs="Times New Roman"/>
          <w:szCs w:val="24"/>
        </w:rPr>
        <w:t>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Ejecución de pruebas funcionales de integración entre NestJS y FastAPI y pruebas de usuario sobre la interfaz. También se realizaron correcciones basadas en los resultados obtenidos, se consolidó la documentación técnica, entrega de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r>
        <w:rPr>
          <w:color w:val="7030A0"/>
        </w:rPr>
        <w:t>🖍️🖋️✏️🖊️ Fase 5, Testing Integral, Ajustes y Documentación, del 27 de mayo al 5 de junio.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
    <w:p>
      <w:r>
        <w:rPr>
          <w:color w:val="ED7D31"/>
        </w:rPr>
        <w:t>Se evitan el paréntesis, el guion especial y el dos puntos, y se corrige "Ejecución de pruebas" por "se ejecutaron pruebas" y "entrega de recomendaciones de continuidad, académica del proyecto" por "se entregaron las recomendaciones de continuidad académica del proyecto". No se cambian los términos técnicos.</w:t>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t xml:space="preserve">BFF Proxy: </w:t>
      </w:r>
      <w:r>
        <w:rPr>
          <w:b w:val="0"/>
          <w:color w:val="0070C0"/>
        </w:rPr>
        <w:t>capa intermedia, implementada en el archivo proxy.ts de Next.js, que centraliza y protege la comunicación entre el frontend y el backend desarrollado en NestJS; oculta los endpoints internos y propaga el JWT en cada solicitud.</w:t>
      </w:r>
      <w:r>
        <w:rPr>
          <w:color w:val="0070C0"/>
        </w:rPr>
      </w:r>
    </w:p>
    <w:p w14:paraId="5FB180CF" w14:textId="77777777" w:rsidR="006C6C11" w:rsidRDefault="00D04B30">
      <w:r>
        <w:rPr>
          <w:b/>
          <w:color w:val="0070C0"/>
        </w:rPr>
        <w:t xml:space="preserve">RAG: </w:t>
      </w:r>
      <w:r>
        <w:rPr>
          <w:b w:val="0"/>
          <w:color w:val="0070C0"/>
        </w:rPr>
        <w:t>técnica que enriquece las respuestas del LLM mediante la recuperación de fragmentos relevantes de un corpus, lo que reduce las alucinaciones.</w:t>
      </w:r>
      <w:r>
        <w:rPr>
          <w:color w:val="0070C0"/>
        </w:rPr>
      </w:r>
    </w:p>
    <w:p w14:paraId="37A7731F" w14:textId="77777777" w:rsidR="006C6C11" w:rsidRDefault="00D04B30">
      <w:r>
        <w:rPr>
          <w:b/>
          <w:color w:val="0070C0"/>
        </w:rPr>
        <w:t xml:space="preserve">FAISS: </w:t>
      </w:r>
      <w:r>
        <w:rPr>
          <w:b w:val="0"/>
          <w:color w:val="0070C0"/>
        </w:rPr>
        <w:t>biblioteca de búsqueda de similitud vectorial que opera en memoria RAM y se utiliza como índice del RAG.</w:t>
      </w:r>
    </w:p>
    <w:p w14:paraId="2DF831A6" w14:textId="77777777" w:rsidR="006C6C11" w:rsidRDefault="00D04B30">
      <w:r>
        <w:rPr>
          <w:b/>
          <w:color w:val="0070C0"/>
        </w:rPr>
        <w:t xml:space="preserve">JWT: </w:t>
      </w:r>
      <w:r>
        <w:rPr>
          <w:b w:val="0"/>
          <w:color w:val="0070C0"/>
        </w:rPr>
        <w:t>estándar definido en el RFC 7519 para la autenticación y la autorización sin estado mediante tokens firmados digitalmente.</w:t>
      </w:r>
      <w:r>
        <w:rPr>
          <w:color w:val="0070C0"/>
        </w:rPr>
      </w:r>
    </w:p>
    <w:p w14:paraId="2595686D" w14:textId="77777777" w:rsidR="006C6C11" w:rsidRDefault="00D04B30">
      <w:r>
        <w:rPr>
          <w:b/>
          <w:color w:val="0070C0"/>
        </w:rPr>
        <w:t xml:space="preserve">Lematización: </w:t>
      </w:r>
      <w:r>
        <w:rPr>
          <w:b w:val="0"/>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b w:val="0"/>
          <w:color w:val="0070C0"/>
        </w:rPr>
        <w:t>reconocimiento de entidades nombradas como nombres, lugares y fechas dentro de un texto; se implementa con spaCy.</w:t>
      </w:r>
      <w:r>
        <w:rPr>
          <w:color w:val="0070C0"/>
        </w:rPr>
      </w:r>
    </w:p>
    <w:p w14:paraId="2DD762C1" w14:textId="77777777" w:rsidR="006C6C11" w:rsidRDefault="00D04B30">
      <w:r>
        <w:rPr>
          <w:b/>
          <w:color w:val="0070C0"/>
        </w:rPr>
        <w:t xml:space="preserve">LLM: </w:t>
      </w:r>
      <w:r>
        <w:rPr>
          <w:b w:val="0"/>
          <w:color w:val="0070C0"/>
        </w:rPr>
        <w:t>modelo de lenguaje de gran escala, como Qwen3, Mistral o Llama 3.2, ejecutado localmente a través de Ollama.</w:t>
      </w:r>
    </w:p>
    <w:p w14:paraId="3AF45444" w14:textId="77777777" w:rsidR="006C6C11" w:rsidRDefault="00D04B30">
      <w:r>
        <w:rPr>
          <w:b/>
          <w:color w:val="0070C0"/>
        </w:rPr>
        <w:t xml:space="preserve">Ollama: </w:t>
      </w:r>
      <w:r>
        <w:rPr>
          <w:b w:val="0"/>
          <w:color w:val="0070C0"/>
        </w:rPr>
        <w:t>runtime local que ejecuta modelos de lenguaje sin enviar datos a terceros.</w:t>
      </w:r>
      <w:r>
        <w:rPr>
          <w:color w:val="0070C0"/>
        </w:rPr>
      </w:r>
    </w:p>
    <w:p w14:paraId="4A51797D" w14:textId="77777777" w:rsidR="006C6C11" w:rsidRDefault="00D04B30">
      <w:r>
        <w:rPr>
          <w:b/>
          <w:color w:val="0070C0"/>
        </w:rPr>
        <w:t xml:space="preserve">Sentence Transformers: </w:t>
      </w:r>
      <w:r>
        <w:rPr>
          <w:b w:val="0"/>
          <w:color w:val="0070C0"/>
        </w:rPr>
        <w:t>familia de modelos que generan embeddings para medir la similitud semántica entre respuestas.</w:t>
      </w:r>
    </w:p>
    <w:p w14:paraId="32AE8082" w14:textId="77777777" w:rsidR="006C6C11" w:rsidRDefault="00D04B30">
      <w:r>
        <w:rPr>
          <w:b/>
          <w:color w:val="0070C0"/>
        </w:rPr>
        <w:t xml:space="preserve">spaCy: </w:t>
      </w:r>
      <w:r>
        <w:rPr>
          <w:b w:val="0"/>
          <w:color w:val="0070C0"/>
        </w:rPr>
        <w:t>biblioteca de procesamiento de lenguaje natural orientada al análisis lingüístico, como la lematización, el NER y el análisis de dependencias.</w:t>
      </w:r>
      <w:r>
        <w:rPr>
          <w:color w:val="0070C0"/>
        </w:rPr>
      </w:r>
    </w:p>
    <w:p w14:paraId="6B84DBBB" w14:textId="77777777" w:rsidR="006C6C11" w:rsidRDefault="00D04B30">
      <w:r>
        <w:rPr>
          <w:b/>
          <w:color w:val="0070C0"/>
        </w:rPr>
        <w:t xml:space="preserve">Microservicios: </w:t>
      </w:r>
      <w:r>
        <w:rPr>
          <w:b w:val="0"/>
          <w:color w:val="0070C0"/>
        </w:rPr>
        <w:t>estilo arquitectónico basado en componentes independientes, pequeños y de bajo acoplamiento.</w:t>
      </w:r>
    </w:p>
    <w:p w14:paraId="62EE9356" w14:textId="77777777" w:rsidR="006C6C11" w:rsidRDefault="00D04B30">
      <w:r>
        <w:rPr>
          <w:b/>
          <w:color w:val="0070C0"/>
        </w:rPr>
        <w:t xml:space="preserve">Arquitectura Hexagonal: </w:t>
      </w:r>
      <w:r>
        <w:rPr>
          <w:b w:val="0"/>
          <w:color w:val="0070C0"/>
        </w:rPr>
        <w:t>patrón de Puertos y Adaptadores que separa las capas de dominio, aplicación, infraestructura y presentación.</w:t>
      </w:r>
      <w:r>
        <w:rPr>
          <w:color w:val="0070C0"/>
        </w:rPr>
      </w:r>
    </w:p>
    <w:p w14:paraId="75973490" w14:textId="77777777" w:rsidR="006C6C11" w:rsidRDefault="00D04B30">
      <w:r>
        <w:rPr>
          <w:b/>
          <w:color w:val="0070C0"/>
        </w:rPr>
        <w:t xml:space="preserve">JSONB: </w:t>
      </w:r>
      <w:r>
        <w:rPr>
          <w:b w:val="0"/>
          <w:color w:val="0070C0"/>
        </w:rPr>
        <w:t>tipo de dato binario de PostgreSQL que almacena documentos JSON de forma indexable.</w:t>
      </w:r>
    </w:p>
    <w:p w14:paraId="44C86ED9" w14:textId="77777777" w:rsidR="006C6C11" w:rsidRDefault="00D04B30">
      <w:r>
        <w:rPr>
          <w:b/>
          <w:color w:val="0070C0"/>
        </w:rPr>
        <w:t xml:space="preserve">UUID: </w:t>
      </w:r>
      <w:r>
        <w:rPr>
          <w:b w:val="0"/>
          <w:color w:val="0070C0"/>
        </w:rPr>
        <w:t>identificador único universal que se emplea como clave primaria en todas las tablas.</w:t>
      </w:r>
    </w:p>
    <w:p w14:paraId="58516275" w14:textId="77777777" w:rsidR="006C6C11" w:rsidRDefault="00D04B30">
      <w:r>
        <w:rPr>
          <w:b/>
          <w:color w:val="0070C0"/>
        </w:rPr>
        <w:t xml:space="preserve">SSE: </w:t>
      </w:r>
      <w:r>
        <w:rPr>
          <w:b w:val="0"/>
          <w:color w:val="0070C0"/>
        </w:rPr>
        <w:t>canal unidireccional del servidor al cliente para el envío de notificaciones en tiempo real.</w:t>
      </w:r>
      <w:r>
        <w:rPr>
          <w:color w:val="0070C0"/>
        </w:rPr>
      </w:r>
    </w:p>
    <w:p w14:paraId="453B045C" w14:textId="77777777" w:rsidR="006C6C11" w:rsidRDefault="00D04B30">
      <w:r>
        <w:rPr>
          <w:b/>
          <w:color w:val="0070C0"/>
        </w:rPr>
        <w:t xml:space="preserve">TypeORM: </w:t>
      </w:r>
      <w:r>
        <w:rPr>
          <w:b w:val="0"/>
          <w:color w:val="0070C0"/>
        </w:rPr>
        <w:t>ORM para TypeScript que gestiona el mapeo objeto-relacional sobre PostgreSQL.</w:t>
      </w:r>
    </w:p>
    <w:p w14:paraId="04231FCF" w14:textId="77777777" w:rsidR="006C6C11" w:rsidRDefault="00D04B30">
      <w:r>
        <w:rPr>
          <w:b/>
          <w:color w:val="0070C0"/>
        </w:rPr>
        <w:t xml:space="preserve">HMAC: </w:t>
      </w:r>
      <w:r>
        <w:rPr>
          <w:b w:val="0"/>
          <w:color w:val="0070C0"/>
        </w:rPr>
        <w:t>mecanismo que firma y asegura la comunicación entre los microservicios.</w:t>
      </w:r>
      <w:r>
        <w:rPr>
          <w:color w:val="0070C0"/>
        </w:rPr>
      </w:r>
    </w:p>
    <w:p w14:paraId="5287E845" w14:textId="77777777" w:rsidR="006C6C11" w:rsidRDefault="00D04B30">
      <w:r>
        <w:rPr>
          <w:b/>
          <w:color w:val="0070C0"/>
        </w:rPr>
        <w:t xml:space="preserve">Patrones de diseño: </w:t>
      </w:r>
      <w:r>
        <w:rPr>
          <w:b w:val="0"/>
          <w:color w:val="0070C0"/>
        </w:rPr>
        <w:t>conjunto de soluciones reutilizables aplicadas en el proyecto: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r>
        <w:rPr>
          <w:color w:val="0070C0"/>
        </w:rPr>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