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E66F35F" w14:textId="77777777" w:rsidR="001130F5" w:rsidRDefault="00F23461">
      <w:r>
        <w:rPr>
          <w:color w:val="7030A0"/>
          <w:sz w:val="22"/>
        </w:rPr>
        <w:t>Las fases 4 y 5 se desarrollan de forma consecutiva y sin solaparse. La Fase 4, Construcción e Integración Tecnológica, transcurre del 16 al 26 de mayo, mientras que la Fase 5, Testing Integral, Ajustes y Documentación, comprende del 27 de mayo al 5 de junio.</w:t>
      </w:r>
      <w:r w:rsidRPr="00920199">
        <w:rPr>
          <w:color w:val="7030A0"/>
          <w:sz w:val="22"/>
          <w:highlight w:val="yellow"/>
        </w:rPr>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