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E66F35F" w14:textId="77777777" w:rsidR="001130F5" w:rsidRDefault="00F23461">
      <w:r>
        <w:rPr>
          <w:color w:val="7030A0"/>
          <w:sz w:val="22"/>
        </w:rPr>
        <w:lastRenderedPageBreak/>
        <w:t xml:space="preserve">🖍️🖋️✏️🖊️ </w:t>
      </w:r>
      <w:r w:rsidRPr="00920199">
        <w:rPr>
          <w:color w:val="7030A0"/>
          <w:sz w:val="22"/>
          <w:highlight w:val="yellow"/>
        </w:rPr>
        <w:t>Las fases 4 y 5 se solapan el 27 de mayo. Secuencia corregida: Fase 4, Construcción e Integración Tecnológica, del 16 al 26 de mayo; Fase 5, Testing Integral, Ajustes y Documentación, del 27 de mayo al 5 de junio.</w:t>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Next.js (proxy.ts),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