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0"/>
        <w:ind/>
        <w:rPr/>
      </w:pPr>
      <w:r>
        <w:rPr>
          <w:rFonts w:ascii="Arial" w:hAnsi="Arial" w:eastAsia="Arial" w:cs="Arial"/>
          <w:b/>
          <w:bCs/>
          <w:color w:val="2d74b5"/>
          <w:sz w:val="40"/>
          <w:szCs w:val="40"/>
        </w:rPr>
        <w:t xml:space="preserve">REGLAS DE NEGOCIO</w:t>
      </w:r>
      <w:r/>
    </w:p>
    <w:p>
      <w:pPr>
        <w:pBdr/>
        <w:spacing w:after="60" w:before="0"/>
        <w:ind/>
        <w:rPr/>
      </w:pPr>
      <w:r>
        <w:rPr>
          <w:rFonts w:ascii="Arial" w:hAnsi="Arial" w:eastAsia="Arial" w:cs="Arial"/>
          <w:b/>
          <w:bCs/>
          <w:color w:val="1a1a2e"/>
          <w:sz w:val="28"/>
          <w:szCs w:val="28"/>
        </w:rPr>
        <w:t xml:space="preserve">AulaVirtual Pro — LMS para Capacitación Empresarial</w:t>
      </w:r>
      <w:r/>
    </w:p>
    <w:p>
      <w:pPr>
        <w:pBdr/>
        <w:spacing w:after="40" w:before="0"/>
        <w:ind/>
        <w:rPr/>
      </w:pPr>
      <w:r>
        <w:rPr>
          <w:rFonts w:ascii="Arial" w:hAnsi="Arial" w:eastAsia="Arial" w:cs="Arial"/>
          <w:color w:val="666666"/>
          <w:sz w:val="20"/>
          <w:szCs w:val="20"/>
        </w:rPr>
        <w:t xml:space="preserve">Versión: 1.0   |   Fecha: 08 de mayo de 2026</w:t>
      </w:r>
      <w:r/>
    </w:p>
    <w:p>
      <w:pPr>
        <w:pBdr/>
        <w:spacing w:after="40" w:before="0"/>
        <w:ind/>
        <w:rPr/>
      </w:pPr>
      <w:r>
        <w:rPr>
          <w:rFonts w:ascii="Arial" w:hAnsi="Arial" w:eastAsia="Arial" w:cs="Arial"/>
          <w:color w:val="888888"/>
          <w:sz w:val="18"/>
          <w:szCs w:val="18"/>
        </w:rPr>
        <w:t xml:space="preserve">Equipo: De Lucio Acompa Johan Anuart · Hernandez Hernandez Erick · Hernandez Martinez Alberto Anyelo · Santillan Cobos Alan Hazel</w:t>
      </w:r>
      <w:r/>
    </w:p>
    <w:p>
      <w:pPr>
        <w:pBdr>
          <w:bottom w:val="single" w:color="2d74b5" w:sz="8" w:space="1"/>
        </w:pBdr>
        <w:spacing w:after="280" w:before="80"/>
        <w:ind/>
        <w:rPr/>
      </w:pPr>
      <w:r/>
      <w:r/>
    </w:p>
    <w:p>
      <w:pPr>
        <w:pBdr/>
        <w:spacing w:after="120" w:before="340"/>
        <w:ind/>
        <w:rPr/>
      </w:pPr>
      <w:r>
        <w:rPr>
          <w:rFonts w:ascii="Arial" w:hAnsi="Arial" w:eastAsia="Arial" w:cs="Arial"/>
          <w:b/>
          <w:bCs/>
          <w:color w:val="2d74b5"/>
          <w:sz w:val="26"/>
          <w:szCs w:val="26"/>
        </w:rPr>
        <w:t xml:space="preserve">1. Propósito del Documento</w:t>
      </w:r>
      <w:r/>
    </w:p>
    <w:p>
      <w:pPr>
        <w:pBdr/>
        <w:spacing w:after="220" w:before="0"/>
        <w:ind/>
        <w:rPr/>
      </w:pPr>
      <w:r>
        <w:rPr>
          <w:rFonts w:ascii="Arial" w:hAnsi="Arial" w:eastAsia="Arial" w:cs="Arial"/>
          <w:color w:val="1a1a2e"/>
          <w:sz w:val="21"/>
          <w:szCs w:val="21"/>
        </w:rPr>
        <w:t xml:space="preserve">Este documento identifica y describe las Reglas de Negocio del sistema AulaVirtual Pro. Cada regla establece una restricción, condición o política que e</w:t>
      </w:r>
      <w:r>
        <w:rPr>
          <w:rFonts w:ascii="Arial" w:hAnsi="Arial" w:eastAsia="Arial" w:cs="Arial"/>
          <w:color w:val="1a1a2e"/>
          <w:sz w:val="21"/>
          <w:szCs w:val="21"/>
        </w:rPr>
        <w:t xml:space="preserve">l sistema debe cumplir para reflejar correctamente la lógica operativa del cliente CapacitaTec S.A. Las reglas son la base para el diseño de la API REST, la lógica del backend (Node.js), el modelo de datos (MongoDB) y las validaciones del frontend (React).</w:t>
      </w:r>
      <w:r/>
    </w:p>
    <w:p>
      <w:pPr>
        <w:pBdr/>
        <w:spacing w:after="120" w:before="340"/>
        <w:ind/>
        <w:rPr/>
      </w:pPr>
      <w:r>
        <w:rPr>
          <w:rFonts w:ascii="Arial" w:hAnsi="Arial" w:eastAsia="Arial" w:cs="Arial"/>
          <w:b/>
          <w:bCs/>
          <w:color w:val="2d74b5"/>
          <w:sz w:val="26"/>
          <w:szCs w:val="26"/>
        </w:rPr>
        <w:t xml:space="preserve">2. Convención de Identificadores</w:t>
      </w:r>
      <w:r/>
    </w:p>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60"/>
        <w:gridCol w:w="3000"/>
        <w:gridCol w:w="4800"/>
      </w:tblGrid>
      <w:tr>
        <w:trPr/>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ffffff"/>
                <w:sz w:val="22"/>
                <w:szCs w:val="22"/>
              </w:rPr>
              <w:t xml:space="preserve">Prefijo</w:t>
            </w:r>
            <w:r/>
          </w:p>
        </w:tc>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3000" w:type="dxa"/>
            <w:textDirection w:val="lrTb"/>
            <w:noWrap w:val="false"/>
          </w:tcPr>
          <w:p>
            <w:pPr>
              <w:pBdr/>
              <w:spacing/>
              <w:ind/>
              <w:jc w:val="left"/>
              <w:rPr/>
            </w:pPr>
            <w:r>
              <w:rPr>
                <w:rFonts w:ascii="Arial" w:hAnsi="Arial" w:eastAsia="Arial" w:cs="Arial"/>
                <w:b/>
                <w:bCs/>
                <w:color w:val="ffffff"/>
                <w:sz w:val="22"/>
                <w:szCs w:val="22"/>
              </w:rPr>
              <w:t xml:space="preserve">Módulo</w:t>
            </w:r>
            <w:r/>
          </w:p>
        </w:tc>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4800" w:type="dxa"/>
            <w:textDirection w:val="lrTb"/>
            <w:noWrap w:val="false"/>
          </w:tcPr>
          <w:p>
            <w:pPr>
              <w:pBdr/>
              <w:spacing/>
              <w:ind/>
              <w:jc w:val="left"/>
              <w:rPr/>
            </w:pPr>
            <w:r>
              <w:rPr>
                <w:rFonts w:ascii="Arial" w:hAnsi="Arial" w:eastAsia="Arial" w:cs="Arial"/>
                <w:b/>
                <w:bCs/>
                <w:color w:val="ffffff"/>
                <w:sz w:val="22"/>
                <w:szCs w:val="22"/>
              </w:rPr>
              <w:t xml:space="preserve">Descripción</w:t>
            </w:r>
            <w:r/>
          </w:p>
        </w:tc>
      </w:tr>
      <w:tr>
        <w:trPr/>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2d74b5"/>
                <w:sz w:val="21"/>
                <w:szCs w:val="21"/>
              </w:rPr>
              <w:t xml:space="preserve">RN-ACC</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3000" w:type="dxa"/>
            <w:textDirection w:val="lrTb"/>
            <w:noWrap w:val="false"/>
          </w:tcPr>
          <w:p>
            <w:pPr>
              <w:pBdr/>
              <w:spacing/>
              <w:ind/>
              <w:jc w:val="left"/>
              <w:rPr/>
            </w:pPr>
            <w:r>
              <w:rPr>
                <w:rFonts w:ascii="Arial" w:hAnsi="Arial" w:eastAsia="Arial" w:cs="Arial"/>
                <w:b w:val="0"/>
                <w:bCs w:val="0"/>
                <w:color w:val="1a1a2e"/>
                <w:sz w:val="21"/>
                <w:szCs w:val="21"/>
              </w:rPr>
              <w:t xml:space="preserve">Acceso y Autenticación</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800" w:type="dxa"/>
            <w:textDirection w:val="lrTb"/>
            <w:noWrap w:val="false"/>
          </w:tcPr>
          <w:p>
            <w:pPr>
              <w:pBdr/>
              <w:spacing/>
              <w:ind/>
              <w:jc w:val="left"/>
              <w:rPr/>
            </w:pPr>
            <w:r>
              <w:rPr>
                <w:rFonts w:ascii="Arial" w:hAnsi="Arial" w:eastAsia="Arial" w:cs="Arial"/>
                <w:b w:val="0"/>
                <w:bCs w:val="0"/>
                <w:color w:val="1a1a2e"/>
                <w:sz w:val="21"/>
                <w:szCs w:val="21"/>
              </w:rPr>
              <w:t xml:space="preserve">Reglas sobre login, tokens  y control de sesiones.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2d74b5"/>
                <w:sz w:val="21"/>
                <w:szCs w:val="21"/>
              </w:rPr>
              <w:t xml:space="preserve">RN-CUR</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3000" w:type="dxa"/>
            <w:textDirection w:val="lrTb"/>
            <w:noWrap w:val="false"/>
          </w:tcPr>
          <w:p>
            <w:pPr>
              <w:pBdr/>
              <w:spacing/>
              <w:ind/>
              <w:jc w:val="left"/>
              <w:rPr/>
            </w:pPr>
            <w:r>
              <w:rPr>
                <w:rFonts w:ascii="Arial" w:hAnsi="Arial" w:eastAsia="Arial" w:cs="Arial"/>
                <w:b w:val="0"/>
                <w:bCs w:val="0"/>
                <w:color w:val="1a1a2e"/>
                <w:sz w:val="21"/>
                <w:szCs w:val="21"/>
              </w:rPr>
              <w:t xml:space="preserve">Cursos y Contenido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800" w:type="dxa"/>
            <w:textDirection w:val="lrTb"/>
            <w:noWrap w:val="false"/>
          </w:tcPr>
          <w:p>
            <w:pPr>
              <w:pBdr/>
              <w:spacing/>
              <w:ind/>
              <w:jc w:val="left"/>
              <w:rPr/>
            </w:pPr>
            <w:r>
              <w:rPr>
                <w:rFonts w:ascii="Arial" w:hAnsi="Arial" w:eastAsia="Arial" w:cs="Arial"/>
                <w:b w:val="0"/>
                <w:bCs w:val="0"/>
                <w:color w:val="1a1a2e"/>
                <w:sz w:val="21"/>
                <w:szCs w:val="21"/>
              </w:rPr>
              <w:t xml:space="preserve">Reglas sobre publicación de cursos, módulos, lecciones y archivos.</w:t>
            </w:r>
            <w:r/>
          </w:p>
        </w:tc>
      </w:tr>
      <w:tr>
        <w:trPr/>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2d74b5"/>
                <w:sz w:val="21"/>
                <w:szCs w:val="21"/>
              </w:rPr>
              <w:t xml:space="preserve">RN-EVA</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3000" w:type="dxa"/>
            <w:textDirection w:val="lrTb"/>
            <w:noWrap w:val="false"/>
          </w:tcPr>
          <w:p>
            <w:pPr>
              <w:pBdr/>
              <w:spacing/>
              <w:ind/>
              <w:jc w:val="left"/>
              <w:rPr/>
            </w:pPr>
            <w:r>
              <w:rPr>
                <w:rFonts w:ascii="Arial" w:hAnsi="Arial" w:eastAsia="Arial" w:cs="Arial"/>
                <w:b w:val="0"/>
                <w:bCs w:val="0"/>
                <w:color w:val="1a1a2e"/>
                <w:sz w:val="21"/>
                <w:szCs w:val="21"/>
              </w:rPr>
              <w:t xml:space="preserve">Evaluaciones</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800" w:type="dxa"/>
            <w:textDirection w:val="lrTb"/>
            <w:noWrap w:val="false"/>
          </w:tcPr>
          <w:p>
            <w:pPr>
              <w:pBdr/>
              <w:spacing/>
              <w:ind/>
              <w:jc w:val="left"/>
              <w:rPr/>
            </w:pPr>
            <w:r>
              <w:rPr>
                <w:rFonts w:ascii="Arial" w:hAnsi="Arial" w:eastAsia="Arial" w:cs="Arial"/>
                <w:b w:val="0"/>
                <w:bCs w:val="0"/>
                <w:color w:val="1a1a2e"/>
                <w:sz w:val="21"/>
                <w:szCs w:val="21"/>
              </w:rPr>
              <w:t xml:space="preserve">Reglas sobre quizzes, intentos y calificación automática.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2d74b5"/>
                <w:sz w:val="21"/>
                <w:szCs w:val="21"/>
              </w:rPr>
              <w:t xml:space="preserve">RN-PRG</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3000" w:type="dxa"/>
            <w:textDirection w:val="lrTb"/>
            <w:noWrap w:val="false"/>
          </w:tcPr>
          <w:p>
            <w:pPr>
              <w:pBdr/>
              <w:spacing/>
              <w:ind/>
              <w:jc w:val="left"/>
              <w:rPr/>
            </w:pPr>
            <w:r>
              <w:rPr>
                <w:rFonts w:ascii="Arial" w:hAnsi="Arial" w:eastAsia="Arial" w:cs="Arial"/>
                <w:b w:val="0"/>
                <w:bCs w:val="0"/>
                <w:color w:val="1a1a2e"/>
                <w:sz w:val="21"/>
                <w:szCs w:val="21"/>
              </w:rPr>
              <w:t xml:space="preserve">Progreso del Alumno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800" w:type="dxa"/>
            <w:textDirection w:val="lrTb"/>
            <w:noWrap w:val="false"/>
          </w:tcPr>
          <w:p>
            <w:pPr>
              <w:pBdr/>
              <w:spacing/>
              <w:ind/>
              <w:jc w:val="left"/>
              <w:rPr/>
            </w:pPr>
            <w:r>
              <w:rPr>
                <w:rFonts w:ascii="Arial" w:hAnsi="Arial" w:eastAsia="Arial" w:cs="Arial"/>
                <w:b w:val="0"/>
                <w:bCs w:val="0"/>
                <w:color w:val="1a1a2e"/>
                <w:sz w:val="21"/>
                <w:szCs w:val="21"/>
              </w:rPr>
              <w:t xml:space="preserve">Reglas sobre cálculo de avance y condiciones de finalización.</w:t>
            </w:r>
            <w:r/>
          </w:p>
        </w:tc>
      </w:tr>
      <w:tr>
        <w:trPr/>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2d74b5"/>
                <w:sz w:val="21"/>
                <w:szCs w:val="21"/>
              </w:rPr>
              <w:t xml:space="preserve">RN-REP</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3000" w:type="dxa"/>
            <w:textDirection w:val="lrTb"/>
            <w:noWrap w:val="false"/>
          </w:tcPr>
          <w:p>
            <w:pPr>
              <w:pBdr/>
              <w:spacing/>
              <w:ind/>
              <w:jc w:val="left"/>
              <w:rPr/>
            </w:pPr>
            <w:r>
              <w:rPr>
                <w:rFonts w:ascii="Arial" w:hAnsi="Arial" w:eastAsia="Arial" w:cs="Arial"/>
                <w:b w:val="0"/>
                <w:bCs w:val="0"/>
                <w:color w:val="1a1a2e"/>
                <w:sz w:val="21"/>
                <w:szCs w:val="21"/>
              </w:rPr>
              <w:t xml:space="preserve">Reportes</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800" w:type="dxa"/>
            <w:textDirection w:val="lrTb"/>
            <w:noWrap w:val="false"/>
          </w:tcPr>
          <w:p>
            <w:pPr>
              <w:pBdr/>
              <w:spacing/>
              <w:ind/>
              <w:jc w:val="left"/>
              <w:rPr/>
            </w:pPr>
            <w:r>
              <w:rPr>
                <w:rFonts w:ascii="Arial" w:hAnsi="Arial" w:eastAsia="Arial" w:cs="Arial"/>
                <w:b w:val="0"/>
                <w:bCs w:val="0"/>
                <w:color w:val="1a1a2e"/>
                <w:sz w:val="21"/>
                <w:szCs w:val="21"/>
              </w:rPr>
              <w:t xml:space="preserve">Reglas sobre acceso al dashboard y exportación de reportes.</w:t>
            </w:r>
            <w:r/>
          </w:p>
        </w:tc>
      </w:tr>
    </w:tbl>
    <w:p>
      <w:pPr>
        <w:pBdr/>
        <w:spacing w:after="120" w:before="340"/>
        <w:ind/>
        <w:rPr/>
      </w:pPr>
      <w:r>
        <w:rPr>
          <w:rFonts w:ascii="Arial" w:hAnsi="Arial" w:eastAsia="Arial" w:cs="Arial"/>
          <w:b/>
          <w:bCs/>
          <w:color w:val="2d74b5"/>
          <w:sz w:val="26"/>
          <w:szCs w:val="26"/>
        </w:rPr>
        <w:t xml:space="preserve">3. Catálogo de Reglas de Negocio</w:t>
      </w:r>
      <w:r/>
    </w:p>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1200"/>
        <w:gridCol w:w="4560"/>
        <w:gridCol w:w="1600"/>
        <w:gridCol w:w="1400"/>
      </w:tblGrid>
      <w:tr>
        <w:trPr>
          <w:tblHeader/>
        </w:trPr>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bCs/>
                <w:color w:val="ffffff"/>
                <w:sz w:val="22"/>
                <w:szCs w:val="22"/>
              </w:rPr>
              <w:t xml:space="preserve">#</w:t>
            </w:r>
            <w:r/>
          </w:p>
        </w:tc>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ffffff"/>
                <w:sz w:val="22"/>
                <w:szCs w:val="22"/>
              </w:rPr>
              <w:t xml:space="preserve">Código</w:t>
            </w:r>
            <w:r/>
          </w:p>
        </w:tc>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bCs/>
                <w:color w:val="ffffff"/>
                <w:sz w:val="22"/>
                <w:szCs w:val="22"/>
              </w:rPr>
              <w:t xml:space="preserve">Descripción de la Regla</w:t>
            </w:r>
            <w:r/>
          </w:p>
        </w:tc>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bCs/>
                <w:color w:val="ffffff"/>
                <w:sz w:val="22"/>
                <w:szCs w:val="22"/>
              </w:rPr>
              <w:t xml:space="preserve">Actor(es)</w:t>
            </w:r>
            <w:r/>
          </w:p>
        </w:tc>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ffffff"/>
                <w:sz w:val="22"/>
                <w:szCs w:val="22"/>
              </w:rPr>
              <w:t xml:space="preserve">Prioridad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RN-ACC-01</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Un usuario solo puede acceder al sistema con credenciales válidas (correo + contraseña). El sistema rechaza intentos sin autenticación.</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Admin / Instructor / </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RN-ACC-02</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Cada sesión activa se gestiona con un token JWT firmado. El token expira automáticamente tras 8 horas de inactividad.</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Admin / Instructor / Alumno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3</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RN-ACC-03</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Un usuario solo puede tener un rol activo por cuenta. No se permiten roles múltiples simultáneos.</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Admin</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RN-ACC-04</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Solo el Administrador puede crear, modificar o eliminar cuentas de usuario en el sistema.</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Admin</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5</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RN-ACC-05</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Un alumno no puede acceder a un curso si no ha sido inscrito previamente por el Administrador o Instructor.</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Alumno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RN-CUR-01</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Todo curso debe tener al menos un módulo y cada módulo al menos una lección antes de poder ser publicado.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Instructor / Admin</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7</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RN-CUR-02</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Un curso solo es visible para alumnos después de ser activado explícitamente por el Instructor o el Administrador.</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Instructor / Admin</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8</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RN-CUR-03</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Los materiales adjuntos a una lección deben ser PDF, DOCX, XLSX o PPTX. No se permiten archivos ejecutables.</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Instructor</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e67e22"/>
                <w:sz w:val="21"/>
                <w:szCs w:val="21"/>
              </w:rPr>
              <w:t xml:space="preserve">Media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9</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RN-CUR-04</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El tamaño máximo de un archivo adjunto por lección es de 25 MB.</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Instructor</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e67e22"/>
                <w:sz w:val="21"/>
                <w:szCs w:val="21"/>
              </w:rPr>
              <w:t xml:space="preserve">Media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10</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RN-CUR-05</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Un alumno solo puede descargar materiales de lecciones de cursos en los que está inscrito.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Alumno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11</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RN-CUR-06</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Un curso solo puede eliminarse si ningún alumno tiene progreso registrado; de lo contrario solo puede archivarse.</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Admin</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RN-EVA-01</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Un quiz solo puede contener preguntas de opción múltiple con una única respuesta correcta por pregunta.</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Instructor</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e67e22"/>
                <w:sz w:val="21"/>
                <w:szCs w:val="21"/>
              </w:rPr>
              <w:t xml:space="preserve">Media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13</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RN-EVA-02</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El sistema calcula y registra la calificación del alumno automáticamente al enviar el quiz. No se permite modificación manual.</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Sistema</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14</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RN-EVA-03</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Un alumno puede repetir un quiz hasta 3 intentos. Solo se conserva la calificación más alta obtenida.</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Alumno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e67e22"/>
                <w:sz w:val="21"/>
                <w:szCs w:val="21"/>
              </w:rPr>
              <w:t xml:space="preserve">Media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15</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RN-EVA-04</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La calificación mínima aprobatoria es 70/100. El sistema muestra el estado APROBADO o REPROBADO de forma automática.</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Sistema</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16</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RN-EVA-05</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Un quiz debe tener mínimo 5 preguntas para poder ser publicado y asignado a una lección.</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Instructor</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e67e22"/>
                <w:sz w:val="21"/>
                <w:szCs w:val="21"/>
              </w:rPr>
              <w:t xml:space="preserve">Media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17</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RN-PRG-01</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El progreso en un curso se calcula como el porcentaje de lecciones completadas sobre el total de lecciones del curso.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Sistema</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18</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RN-PRG-02</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Una lección se marca como completada cuando el alumno ha accedido al contenido y, si tiene quiz, lo ha aprobado.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Sistema</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19</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RN-PRG-03</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El progreso de un alumno no puede ser modificado manualmente por ningún rol, incluido el Administrador.</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Sistema</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20</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RN-PRG-04</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Un certificado de finalización solo se genera si el alumno alcanza 100% de progreso y aprueba todos los quizzes del curso.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Sistema</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e67e22"/>
                <w:sz w:val="21"/>
                <w:szCs w:val="21"/>
              </w:rPr>
              <w:t xml:space="preserve">Media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21</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RN-REP-01</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Solo el Administrador tiene acceso al dashboard de reportes. Instructores y alumnos no pueden visualizarlo.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Admin</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c0392b"/>
                <w:sz w:val="21"/>
                <w:szCs w:val="21"/>
              </w:rPr>
              <w:t xml:space="preserve">Alta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22</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RN-REP-02</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El dashboard muestra en tiempo real: alumnos inscritos, tasa de aprobación por curso y progreso promedio del grupo.</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Admin</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e67e22"/>
                <w:sz w:val="21"/>
                <w:szCs w:val="21"/>
              </w:rPr>
              <w:t xml:space="preserve">Media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600" w:type="dxa"/>
            <w:textDirection w:val="lrTb"/>
            <w:noWrap w:val="false"/>
          </w:tcPr>
          <w:p>
            <w:pPr>
              <w:pBdr/>
              <w:spacing/>
              <w:ind/>
              <w:jc w:val="center"/>
              <w:rPr/>
            </w:pPr>
            <w:r>
              <w:rPr>
                <w:rFonts w:ascii="Arial" w:hAnsi="Arial" w:eastAsia="Arial" w:cs="Arial"/>
                <w:b w:val="0"/>
                <w:bCs w:val="0"/>
                <w:color w:val="1a1a2e"/>
                <w:sz w:val="21"/>
                <w:szCs w:val="21"/>
              </w:rPr>
              <w:t xml:space="preserve">23</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200" w:type="dxa"/>
            <w:textDirection w:val="lrTb"/>
            <w:noWrap w:val="false"/>
          </w:tcPr>
          <w:p>
            <w:pPr>
              <w:pBdr/>
              <w:spacing/>
              <w:ind/>
              <w:jc w:val="left"/>
              <w:rPr/>
            </w:pPr>
            <w:r>
              <w:rPr>
                <w:rFonts w:ascii="Arial" w:hAnsi="Arial" w:eastAsia="Arial" w:cs="Arial"/>
                <w:b/>
                <w:bCs/>
                <w:color w:val="2d74b5"/>
                <w:sz w:val="21"/>
                <w:szCs w:val="21"/>
              </w:rPr>
              <w:t xml:space="preserve">RN-REP-03</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560" w:type="dxa"/>
            <w:textDirection w:val="lrTb"/>
            <w:noWrap w:val="false"/>
          </w:tcPr>
          <w:p>
            <w:pPr>
              <w:pBdr/>
              <w:spacing/>
              <w:ind/>
              <w:jc w:val="left"/>
              <w:rPr/>
            </w:pPr>
            <w:r>
              <w:rPr>
                <w:rFonts w:ascii="Arial" w:hAnsi="Arial" w:eastAsia="Arial" w:cs="Arial"/>
                <w:b w:val="0"/>
                <w:bCs w:val="0"/>
                <w:color w:val="1a1a2e"/>
                <w:sz w:val="21"/>
                <w:szCs w:val="21"/>
              </w:rPr>
              <w:t xml:space="preserve">Los reportes pueden exportarse en PDF o XLSX. La exportación queda registrada con fecha, hora y usuario que la realizó.</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600" w:type="dxa"/>
            <w:textDirection w:val="lrTb"/>
            <w:noWrap w:val="false"/>
          </w:tcPr>
          <w:p>
            <w:pPr>
              <w:pBdr/>
              <w:spacing/>
              <w:ind/>
              <w:jc w:val="center"/>
              <w:rPr/>
            </w:pPr>
            <w:r>
              <w:rPr>
                <w:rFonts w:ascii="Arial" w:hAnsi="Arial" w:eastAsia="Arial" w:cs="Arial"/>
                <w:b w:val="0"/>
                <w:bCs w:val="0"/>
                <w:color w:val="1a1a2e"/>
                <w:sz w:val="21"/>
                <w:szCs w:val="21"/>
              </w:rPr>
              <w:t xml:space="preserve">Admin</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400" w:type="dxa"/>
            <w:textDirection w:val="lrTb"/>
            <w:noWrap w:val="false"/>
          </w:tcPr>
          <w:p>
            <w:pPr>
              <w:pBdr/>
              <w:spacing/>
              <w:ind/>
              <w:jc w:val="center"/>
              <w:rPr/>
            </w:pPr>
            <w:r>
              <w:rPr>
                <w:rFonts w:ascii="Arial" w:hAnsi="Arial" w:eastAsia="Arial" w:cs="Arial"/>
                <w:b/>
                <w:bCs/>
                <w:color w:val="27ae60"/>
                <w:sz w:val="21"/>
                <w:szCs w:val="21"/>
              </w:rPr>
              <w:t xml:space="preserve">Baja</w:t>
            </w:r>
            <w:r/>
          </w:p>
        </w:tc>
      </w:tr>
    </w:tbl>
    <w:p>
      <w:pPr>
        <w:pBdr/>
        <w:spacing w:after="120" w:before="340"/>
        <w:ind/>
        <w:rPr/>
      </w:pPr>
      <w:r>
        <w:rPr>
          <w:rFonts w:ascii="Arial" w:hAnsi="Arial" w:eastAsia="Arial" w:cs="Arial"/>
          <w:b/>
          <w:bCs/>
          <w:color w:val="2d74b5"/>
          <w:sz w:val="26"/>
          <w:szCs w:val="26"/>
        </w:rPr>
        <w:t xml:space="preserve">4. Resumen por Módulo</w:t>
      </w:r>
      <w:r/>
    </w:p>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1560"/>
        <w:gridCol w:w="1560"/>
        <w:gridCol w:w="1560"/>
        <w:gridCol w:w="2340"/>
      </w:tblGrid>
      <w:tr>
        <w:trPr/>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2340" w:type="dxa"/>
            <w:textDirection w:val="lrTb"/>
            <w:noWrap w:val="false"/>
          </w:tcPr>
          <w:p>
            <w:pPr>
              <w:pBdr/>
              <w:spacing/>
              <w:ind/>
              <w:jc w:val="left"/>
              <w:rPr/>
            </w:pPr>
            <w:r>
              <w:rPr>
                <w:rFonts w:ascii="Arial" w:hAnsi="Arial" w:eastAsia="Arial" w:cs="Arial"/>
                <w:b/>
                <w:bCs/>
                <w:color w:val="ffffff"/>
                <w:sz w:val="22"/>
                <w:szCs w:val="22"/>
              </w:rPr>
              <w:t xml:space="preserve">Módulo</w:t>
            </w:r>
            <w:r/>
          </w:p>
        </w:tc>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ffffff"/>
                <w:sz w:val="22"/>
                <w:szCs w:val="22"/>
              </w:rPr>
              <w:t xml:space="preserve">Alta</w:t>
            </w:r>
            <w:r/>
          </w:p>
        </w:tc>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ffffff"/>
                <w:sz w:val="22"/>
                <w:szCs w:val="22"/>
              </w:rPr>
              <w:t xml:space="preserve">Media</w:t>
            </w:r>
            <w:r/>
          </w:p>
        </w:tc>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ffffff"/>
                <w:sz w:val="22"/>
                <w:szCs w:val="22"/>
              </w:rPr>
              <w:t xml:space="preserve">Baja</w:t>
            </w:r>
            <w:r/>
          </w:p>
        </w:tc>
        <w:tc>
          <w:tcPr>
            <w:shd w:val="clear" w:color="auto" w:fill="2d74b5"/>
            <w:tcBorders>
              <w:top w:val="single" w:color="2d74b5" w:sz="1" w:space="0"/>
              <w:left w:val="single" w:color="2d74b5" w:sz="1" w:space="0"/>
              <w:bottom w:val="single" w:color="2d74b5" w:sz="1" w:space="0"/>
              <w:right w:val="single" w:color="2d74b5" w:sz="1" w:space="0"/>
            </w:tcBorders>
            <w:tcMar>
              <w:left w:w="140" w:type="dxa"/>
              <w:top w:w="100" w:type="dxa"/>
              <w:right w:w="140" w:type="dxa"/>
              <w:bottom w:w="100" w:type="dxa"/>
            </w:tcMar>
            <w:tcW w:w="2340" w:type="dxa"/>
            <w:textDirection w:val="lrTb"/>
            <w:noWrap w:val="false"/>
          </w:tcPr>
          <w:p>
            <w:pPr>
              <w:pBdr/>
              <w:spacing/>
              <w:ind/>
              <w:jc w:val="center"/>
              <w:rPr/>
            </w:pPr>
            <w:r>
              <w:rPr>
                <w:rFonts w:ascii="Arial" w:hAnsi="Arial" w:eastAsia="Arial" w:cs="Arial"/>
                <w:b/>
                <w:bCs/>
                <w:color w:val="ffffff"/>
                <w:sz w:val="22"/>
                <w:szCs w:val="22"/>
              </w:rPr>
              <w:t xml:space="preserve">Total</w:t>
            </w:r>
            <w:r/>
          </w:p>
        </w:tc>
      </w:tr>
      <w:tr>
        <w:trPr/>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left"/>
              <w:rPr/>
            </w:pPr>
            <w:r>
              <w:rPr>
                <w:rFonts w:ascii="Arial" w:hAnsi="Arial" w:eastAsia="Arial" w:cs="Arial"/>
                <w:b w:val="0"/>
                <w:bCs w:val="0"/>
                <w:color w:val="1a1a2e"/>
                <w:sz w:val="21"/>
                <w:szCs w:val="21"/>
              </w:rPr>
              <w:t xml:space="preserve">Acceso y Autenticación (RN-ACC)</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4</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0</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0</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center"/>
              <w:rPr/>
            </w:pPr>
            <w:r>
              <w:rPr>
                <w:rFonts w:ascii="Arial" w:hAnsi="Arial" w:eastAsia="Arial" w:cs="Arial"/>
                <w:b/>
                <w:bCs/>
                <w:color w:val="1a1a2e"/>
                <w:sz w:val="21"/>
                <w:szCs w:val="21"/>
              </w:rPr>
              <w:t xml:space="preserve">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left"/>
              <w:rPr/>
            </w:pPr>
            <w:r>
              <w:rPr>
                <w:rFonts w:ascii="Arial" w:hAnsi="Arial" w:eastAsia="Arial" w:cs="Arial"/>
                <w:b w:val="0"/>
                <w:bCs w:val="0"/>
                <w:color w:val="1a1a2e"/>
                <w:sz w:val="21"/>
                <w:szCs w:val="21"/>
              </w:rPr>
              <w:t xml:space="preserve">Cursos y Contenido (RN-CUR)</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center"/>
              <w:rPr/>
            </w:pPr>
            <w:r>
              <w:rPr>
                <w:rFonts w:ascii="Arial" w:hAnsi="Arial" w:eastAsia="Arial" w:cs="Arial"/>
                <w:b/>
                <w:bCs/>
                <w:color w:val="1a1a2e"/>
                <w:sz w:val="21"/>
                <w:szCs w:val="21"/>
              </w:rPr>
              <w:t xml:space="preserve">6</w:t>
            </w:r>
            <w:r/>
          </w:p>
        </w:tc>
      </w:tr>
      <w:tr>
        <w:trPr/>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left"/>
              <w:rPr/>
            </w:pPr>
            <w:r>
              <w:rPr>
                <w:rFonts w:ascii="Arial" w:hAnsi="Arial" w:eastAsia="Arial" w:cs="Arial"/>
                <w:b w:val="0"/>
                <w:bCs w:val="0"/>
                <w:color w:val="1a1a2e"/>
                <w:sz w:val="21"/>
                <w:szCs w:val="21"/>
              </w:rPr>
              <w:t xml:space="preserve">Evaluaciones (RN-EVA)</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2</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3</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0</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center"/>
              <w:rPr/>
            </w:pPr>
            <w:r>
              <w:rPr>
                <w:rFonts w:ascii="Arial" w:hAnsi="Arial" w:eastAsia="Arial" w:cs="Arial"/>
                <w:b/>
                <w:bCs/>
                <w:color w:val="1a1a2e"/>
                <w:sz w:val="21"/>
                <w:szCs w:val="21"/>
              </w:rPr>
              <w:t xml:space="preserve">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left"/>
              <w:rPr/>
            </w:pPr>
            <w:r>
              <w:rPr>
                <w:rFonts w:ascii="Arial" w:hAnsi="Arial" w:eastAsia="Arial" w:cs="Arial"/>
                <w:b w:val="0"/>
                <w:bCs w:val="0"/>
                <w:color w:val="1a1a2e"/>
                <w:sz w:val="21"/>
                <w:szCs w:val="21"/>
              </w:rPr>
              <w:t xml:space="preserve">Progreso del Alumno (RN-PRG)</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3</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center"/>
              <w:rPr/>
            </w:pPr>
            <w:r>
              <w:rPr>
                <w:rFonts w:ascii="Arial" w:hAnsi="Arial" w:eastAsia="Arial" w:cs="Arial"/>
                <w:b/>
                <w:bCs/>
                <w:color w:val="1a1a2e"/>
                <w:sz w:val="21"/>
                <w:szCs w:val="21"/>
              </w:rPr>
              <w:t xml:space="preserve">4</w:t>
            </w:r>
            <w:r/>
          </w:p>
        </w:tc>
      </w:tr>
      <w:tr>
        <w:trPr/>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left"/>
              <w:rPr/>
            </w:pPr>
            <w:r>
              <w:rPr>
                <w:rFonts w:ascii="Arial" w:hAnsi="Arial" w:eastAsia="Arial" w:cs="Arial"/>
                <w:b w:val="0"/>
                <w:bCs w:val="0"/>
                <w:color w:val="1a1a2e"/>
                <w:sz w:val="21"/>
                <w:szCs w:val="21"/>
              </w:rPr>
              <w:t xml:space="preserve">Reportes (RN-REP)</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1</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1</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val="0"/>
                <w:bCs w:val="0"/>
                <w:color w:val="1a1a2e"/>
                <w:sz w:val="21"/>
                <w:szCs w:val="21"/>
              </w:rPr>
              <w:t xml:space="preserve">1</w:t>
            </w:r>
            <w:r/>
          </w:p>
        </w:tc>
        <w:tc>
          <w:tcPr>
            <w:shd w:val="clear" w:color="auto" w:fill="eef4fb"/>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center"/>
              <w:rPr/>
            </w:pPr>
            <w:r>
              <w:rPr>
                <w:rFonts w:ascii="Arial" w:hAnsi="Arial" w:eastAsia="Arial" w:cs="Arial"/>
                <w:b/>
                <w:bCs/>
                <w:color w:val="1a1a2e"/>
                <w:sz w:val="21"/>
                <w:szCs w:val="21"/>
              </w:rPr>
              <w:t xml:space="preserve">3</w:t>
            </w:r>
            <w:r/>
          </w:p>
        </w:tc>
      </w:tr>
      <w:tr>
        <w:trPr/>
        <w:tc>
          <w:tcPr>
            <w:shd w:val="clear" w:color="auto" w:fill="2d74b5"/>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left"/>
              <w:rPr/>
            </w:pPr>
            <w:r>
              <w:rPr>
                <w:rFonts w:ascii="Arial" w:hAnsi="Arial" w:eastAsia="Arial" w:cs="Arial"/>
                <w:b/>
                <w:bCs/>
                <w:color w:val="ffffff"/>
                <w:sz w:val="21"/>
                <w:szCs w:val="21"/>
              </w:rPr>
              <w:t xml:space="preserve">TOTAL</w:t>
            </w:r>
            <w:r/>
          </w:p>
        </w:tc>
        <w:tc>
          <w:tcPr>
            <w:shd w:val="clear" w:color="auto" w:fill="2d74b5"/>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ffffff"/>
                <w:sz w:val="21"/>
                <w:szCs w:val="21"/>
              </w:rPr>
              <w:t xml:space="preserve">14</w:t>
            </w:r>
            <w:r/>
          </w:p>
        </w:tc>
        <w:tc>
          <w:tcPr>
            <w:shd w:val="clear" w:color="auto" w:fill="2d74b5"/>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ffffff"/>
                <w:sz w:val="21"/>
                <w:szCs w:val="21"/>
              </w:rPr>
              <w:t xml:space="preserve">7</w:t>
            </w:r>
            <w:r/>
          </w:p>
        </w:tc>
        <w:tc>
          <w:tcPr>
            <w:shd w:val="clear" w:color="auto" w:fill="2d74b5"/>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1560" w:type="dxa"/>
            <w:textDirection w:val="lrTb"/>
            <w:noWrap w:val="false"/>
          </w:tcPr>
          <w:p>
            <w:pPr>
              <w:pBdr/>
              <w:spacing/>
              <w:ind/>
              <w:jc w:val="center"/>
              <w:rPr/>
            </w:pPr>
            <w:r>
              <w:rPr>
                <w:rFonts w:ascii="Arial" w:hAnsi="Arial" w:eastAsia="Arial" w:cs="Arial"/>
                <w:b/>
                <w:bCs/>
                <w:color w:val="ffffff"/>
                <w:sz w:val="21"/>
                <w:szCs w:val="21"/>
              </w:rPr>
              <w:t xml:space="preserve">1</w:t>
            </w:r>
            <w:r/>
          </w:p>
        </w:tc>
        <w:tc>
          <w:tcPr>
            <w:shd w:val="clear" w:color="auto" w:fill="2d74b5"/>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2340" w:type="dxa"/>
            <w:textDirection w:val="lrTb"/>
            <w:noWrap w:val="false"/>
          </w:tcPr>
          <w:p>
            <w:pPr>
              <w:pBdr/>
              <w:spacing/>
              <w:ind/>
              <w:jc w:val="center"/>
              <w:rPr/>
            </w:pPr>
            <w:r>
              <w:rPr>
                <w:rFonts w:ascii="Arial" w:hAnsi="Arial" w:eastAsia="Arial" w:cs="Arial"/>
                <w:b/>
                <w:bCs/>
                <w:color w:val="ffffff"/>
                <w:sz w:val="21"/>
                <w:szCs w:val="21"/>
              </w:rPr>
              <w:t xml:space="preserve">23</w:t>
            </w:r>
            <w:r/>
          </w:p>
        </w:tc>
      </w:tr>
    </w:tbl>
    <w:p>
      <w:pPr>
        <w:pBdr/>
        <w:spacing w:after="120" w:before="340"/>
        <w:ind/>
        <w:rPr/>
      </w:pPr>
      <w:r>
        <w:rPr>
          <w:rFonts w:ascii="Arial" w:hAnsi="Arial" w:eastAsia="Arial" w:cs="Arial"/>
          <w:b/>
          <w:bCs/>
          <w:color w:val="2d74b5"/>
          <w:sz w:val="26"/>
          <w:szCs w:val="26"/>
        </w:rPr>
        <w:t xml:space="preserve">5. Criterios de Implementación</w:t>
      </w:r>
      <w:r/>
    </w:p>
    <w:p>
      <w:pPr>
        <w:pBdr/>
        <w:spacing w:after="120" w:before="0"/>
        <w:ind/>
        <w:rPr/>
      </w:pPr>
      <w:r>
        <w:rPr>
          <w:rFonts w:ascii="Arial" w:hAnsi="Arial" w:eastAsia="Arial" w:cs="Arial"/>
          <w:color w:val="1a1a2e"/>
          <w:sz w:val="21"/>
          <w:szCs w:val="21"/>
        </w:rPr>
        <w:t xml:space="preserve">Las reglas de prioridad Alta deben implementarse en el Sprint 1 sin excepción. Las reglas Media pueden distribuirse en Sprint 2 y 3 según la</w:t>
      </w:r>
      <w:r>
        <w:rPr>
          <w:rFonts w:ascii="Arial" w:hAnsi="Arial" w:eastAsia="Arial" w:cs="Arial"/>
          <w:color w:val="1a1a2e"/>
          <w:sz w:val="21"/>
          <w:szCs w:val="21"/>
        </w:rPr>
        <w:t xml:space="preserve"> carga del equipo. Las reglas Baja son deseables para v1.0 pero no bloquean el lanzamiento. Cualquier modificación a este documento debe ser aprobada por el Project Manager (Hernandez Martinez Alberto Anyelo) y registrada con número de versión actualizado.</w:t>
      </w:r>
      <w:r/>
    </w:p>
    <w:p>
      <w:pPr>
        <w:pBdr>
          <w:top w:val="single" w:color="2d74b5" w:sz="6" w:space="1"/>
        </w:pBdr>
        <w:spacing w:after="80" w:before="400"/>
        <w:ind/>
        <w:jc w:val="center"/>
        <w:rPr/>
      </w:pPr>
      <w:r>
        <w:rPr>
          <w:rFonts w:ascii="Arial" w:hAnsi="Arial" w:eastAsia="Arial" w:cs="Arial"/>
          <w:color w:val="999999"/>
          <w:sz w:val="18"/>
          <w:szCs w:val="18"/>
        </w:rPr>
        <w:t xml:space="preserve">AulaVirtual Pro   ·  Reglas de Negocio v1.0  </w:t>
      </w:r>
      <w:r/>
    </w:p>
    <w:sectPr>
      <w:footnotePr/>
      <w:endnotePr/>
      <w:type w:val="nextPage"/>
      <w:pgSz w:h="15840" w:orient="portrait" w:w="12240"/>
      <w:pgMar w:top="1100" w:right="1100" w:bottom="1100" w:left="11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ONLYOFFICE/9.1.0.167</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2026-05-12T20:22:21Z</dcterms:created>
  <dcterms:modified xsi:type="dcterms:W3CDTF">2026-05-12T22:36:30Z</dcterms:modified>
</cp:coreProperties>
</file>