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D9F12" w14:textId="77777777" w:rsidR="001F180A" w:rsidRDefault="001F180A" w:rsidP="001F180A">
      <w:pPr>
        <w:rPr>
          <w:b/>
          <w:bCs/>
        </w:rPr>
      </w:pPr>
    </w:p>
    <w:p w14:paraId="02FC671E" w14:textId="77777777" w:rsidR="001F180A" w:rsidRDefault="001F180A" w:rsidP="001F180A">
      <w:pPr>
        <w:rPr>
          <w:b/>
          <w:bCs/>
        </w:rPr>
      </w:pPr>
    </w:p>
    <w:p w14:paraId="059F8D55" w14:textId="77777777" w:rsidR="001F180A" w:rsidRDefault="001F180A" w:rsidP="001F180A">
      <w:pPr>
        <w:rPr>
          <w:b/>
          <w:bCs/>
        </w:rPr>
      </w:pPr>
    </w:p>
    <w:p w14:paraId="20938E09" w14:textId="77777777" w:rsidR="001F180A" w:rsidRDefault="001F180A" w:rsidP="001F180A">
      <w:pPr>
        <w:rPr>
          <w:b/>
          <w:bCs/>
        </w:rPr>
      </w:pPr>
    </w:p>
    <w:p w14:paraId="7FA4728A" w14:textId="77777777" w:rsidR="001F180A" w:rsidRDefault="001F180A" w:rsidP="001F180A">
      <w:pPr>
        <w:rPr>
          <w:b/>
          <w:bCs/>
        </w:rPr>
      </w:pPr>
    </w:p>
    <w:p w14:paraId="24B38A17" w14:textId="77777777" w:rsidR="001F180A" w:rsidRDefault="001F180A" w:rsidP="001F180A">
      <w:pPr>
        <w:rPr>
          <w:b/>
          <w:bCs/>
        </w:rPr>
      </w:pPr>
    </w:p>
    <w:p w14:paraId="2E71EDBA" w14:textId="77777777" w:rsidR="001F180A" w:rsidRDefault="001F180A" w:rsidP="001F180A">
      <w:pPr>
        <w:rPr>
          <w:b/>
          <w:bCs/>
        </w:rPr>
      </w:pPr>
    </w:p>
    <w:p w14:paraId="68265635" w14:textId="77777777" w:rsidR="001F180A" w:rsidRDefault="001F180A" w:rsidP="001F180A">
      <w:pPr>
        <w:rPr>
          <w:b/>
          <w:bCs/>
        </w:rPr>
      </w:pPr>
    </w:p>
    <w:p w14:paraId="46ADC000" w14:textId="77777777" w:rsidR="001F180A" w:rsidRDefault="001F180A" w:rsidP="001F180A">
      <w:pPr>
        <w:rPr>
          <w:b/>
          <w:bCs/>
        </w:rPr>
      </w:pPr>
    </w:p>
    <w:p w14:paraId="47CB48C9" w14:textId="21C61203" w:rsidR="001F180A" w:rsidRDefault="001F180A" w:rsidP="001F180A">
      <w:pPr>
        <w:rPr>
          <w:b/>
          <w:bCs/>
        </w:rPr>
      </w:pPr>
      <w:r w:rsidRPr="001F180A">
        <w:rPr>
          <w:b/>
          <w:bCs/>
        </w:rPr>
        <w:t>Patentes de software y algoritmos: un análisis desde la legislación andina</w:t>
      </w:r>
    </w:p>
    <w:p w14:paraId="3132E67F" w14:textId="77777777" w:rsidR="001F180A" w:rsidRDefault="001F180A" w:rsidP="001F180A">
      <w:pPr>
        <w:rPr>
          <w:b/>
          <w:bCs/>
        </w:rPr>
      </w:pPr>
    </w:p>
    <w:p w14:paraId="7BEF69A8" w14:textId="77777777" w:rsidR="001F180A" w:rsidRDefault="001F180A" w:rsidP="001F180A">
      <w:pPr>
        <w:rPr>
          <w:b/>
          <w:bCs/>
        </w:rPr>
      </w:pPr>
    </w:p>
    <w:p w14:paraId="0B11E319" w14:textId="77777777" w:rsidR="001F180A" w:rsidRDefault="001F180A" w:rsidP="001F180A">
      <w:pPr>
        <w:rPr>
          <w:b/>
          <w:bCs/>
        </w:rPr>
      </w:pPr>
    </w:p>
    <w:p w14:paraId="25FCE9DA" w14:textId="77777777" w:rsidR="001F180A" w:rsidRDefault="001F180A" w:rsidP="001F180A">
      <w:pPr>
        <w:rPr>
          <w:b/>
          <w:bCs/>
        </w:rPr>
      </w:pPr>
    </w:p>
    <w:p w14:paraId="1D805D5E" w14:textId="77777777" w:rsidR="001F180A" w:rsidRDefault="001F180A" w:rsidP="001F180A">
      <w:pPr>
        <w:rPr>
          <w:b/>
          <w:bCs/>
        </w:rPr>
      </w:pPr>
    </w:p>
    <w:p w14:paraId="42CB2BE5" w14:textId="77777777" w:rsidR="001F180A" w:rsidRDefault="001F180A" w:rsidP="001F180A">
      <w:pPr>
        <w:rPr>
          <w:b/>
          <w:bCs/>
        </w:rPr>
      </w:pPr>
    </w:p>
    <w:p w14:paraId="01E49A6D" w14:textId="77777777" w:rsidR="001F180A" w:rsidRDefault="001F180A" w:rsidP="001F180A">
      <w:pPr>
        <w:rPr>
          <w:b/>
          <w:bCs/>
        </w:rPr>
      </w:pPr>
    </w:p>
    <w:p w14:paraId="6B7FE0D1" w14:textId="77777777" w:rsidR="001F180A" w:rsidRDefault="001F180A" w:rsidP="001F180A">
      <w:pPr>
        <w:rPr>
          <w:b/>
          <w:bCs/>
        </w:rPr>
      </w:pPr>
    </w:p>
    <w:p w14:paraId="7BD6E7E9" w14:textId="77777777" w:rsidR="001F180A" w:rsidRDefault="001F180A" w:rsidP="001F180A">
      <w:pPr>
        <w:rPr>
          <w:b/>
          <w:bCs/>
        </w:rPr>
      </w:pPr>
    </w:p>
    <w:p w14:paraId="5469E53B" w14:textId="77777777" w:rsidR="001F180A" w:rsidRDefault="001F180A" w:rsidP="001F180A">
      <w:pPr>
        <w:rPr>
          <w:b/>
          <w:bCs/>
        </w:rPr>
      </w:pPr>
    </w:p>
    <w:p w14:paraId="7E17BF32" w14:textId="77777777" w:rsidR="001F180A" w:rsidRDefault="001F180A" w:rsidP="001F180A">
      <w:pPr>
        <w:rPr>
          <w:b/>
          <w:bCs/>
        </w:rPr>
      </w:pPr>
    </w:p>
    <w:p w14:paraId="06FC987C" w14:textId="77777777" w:rsidR="001F180A" w:rsidRDefault="001F180A" w:rsidP="001F180A">
      <w:pPr>
        <w:rPr>
          <w:b/>
          <w:bCs/>
        </w:rPr>
      </w:pPr>
    </w:p>
    <w:p w14:paraId="79EA6FA9" w14:textId="77777777" w:rsidR="001F180A" w:rsidRDefault="001F180A" w:rsidP="001F180A">
      <w:pPr>
        <w:rPr>
          <w:b/>
          <w:bCs/>
        </w:rPr>
      </w:pPr>
    </w:p>
    <w:p w14:paraId="44CDDFB1" w14:textId="77777777" w:rsidR="001F180A" w:rsidRDefault="001F180A" w:rsidP="001F180A">
      <w:pPr>
        <w:rPr>
          <w:b/>
          <w:bCs/>
        </w:rPr>
      </w:pPr>
    </w:p>
    <w:p w14:paraId="60609151" w14:textId="77777777" w:rsidR="001F180A" w:rsidRDefault="001F180A" w:rsidP="001F180A">
      <w:pPr>
        <w:rPr>
          <w:b/>
          <w:bCs/>
        </w:rPr>
      </w:pPr>
    </w:p>
    <w:p w14:paraId="5D677132" w14:textId="77777777" w:rsidR="001F180A" w:rsidRPr="001F180A" w:rsidRDefault="001F180A" w:rsidP="001F180A">
      <w:pPr>
        <w:rPr>
          <w:b/>
          <w:bCs/>
        </w:rPr>
      </w:pPr>
    </w:p>
    <w:p w14:paraId="0360A07D" w14:textId="6FF300FF" w:rsidR="001F180A" w:rsidRPr="001F180A" w:rsidRDefault="001F180A" w:rsidP="001F180A">
      <w:pPr>
        <w:rPr>
          <w:b/>
          <w:bCs/>
        </w:rPr>
      </w:pPr>
      <w:r w:rsidRPr="001F180A">
        <w:rPr>
          <w:b/>
          <w:bCs/>
        </w:rPr>
        <w:lastRenderedPageBreak/>
        <w:t>Introducción</w:t>
      </w:r>
    </w:p>
    <w:p w14:paraId="7CEE4C01" w14:textId="587A2993" w:rsidR="001F180A" w:rsidRDefault="001F180A" w:rsidP="001F180A">
      <w:r>
        <w:t>En el contexto actual, caracterizado por el avance acelerado de las tecnologías de la información, el software y los algoritmos se han convertido en elementos esenciales para el desarrollo económico, científico y social de los Estados. Esta realidad ha generado debates jurídicos en torno a la protección de las creaciones intelectuales vinculadas al ámbito digital, especialmente en lo referente a la posibilidad de otorgar patentes sobre programas informáticos y algoritmos.</w:t>
      </w:r>
    </w:p>
    <w:p w14:paraId="1B13AE64" w14:textId="6199DED1" w:rsidR="001F180A" w:rsidRDefault="001F180A" w:rsidP="001F180A">
      <w:r>
        <w:t>Desde una perspectiva crítica, resulta necesario analizar cómo los marcos legales vigentes abordan estas creaciones, particularmente en países en desarrollo, donde el acceso al conocimiento y la soberanía tecnológica representan factores estratégicos. En este sentido, la legislación andina constituye un referente normativo clave para comprender la posición del Estado venezolano frente a la patentabilidad del software y los algoritmos.</w:t>
      </w:r>
    </w:p>
    <w:p w14:paraId="5D15E222" w14:textId="77777777" w:rsidR="001F180A" w:rsidRDefault="001F180A" w:rsidP="001F180A">
      <w:r>
        <w:t>El presente trabajo tiene como objetivo analizar el tratamiento de las patentes de software y algoritmos desde la legislación andina, específicamente a través de la Decisión 486 de la Comunidad Andina, así como sus implicaciones para Venezuela y el desarrollo tecnológico nacional.</w:t>
      </w:r>
    </w:p>
    <w:p w14:paraId="2B9107D9" w14:textId="77777777" w:rsidR="001F180A" w:rsidRDefault="001F180A" w:rsidP="001F180A"/>
    <w:p w14:paraId="6766A5B0" w14:textId="77777777" w:rsidR="001F180A" w:rsidRDefault="001F180A" w:rsidP="001F180A"/>
    <w:p w14:paraId="62760A58" w14:textId="77777777" w:rsidR="001F180A" w:rsidRDefault="001F180A" w:rsidP="001F180A"/>
    <w:p w14:paraId="3DB5F6F6" w14:textId="77777777" w:rsidR="001F180A" w:rsidRDefault="001F180A" w:rsidP="001F180A"/>
    <w:p w14:paraId="33992F1B" w14:textId="77777777" w:rsidR="001F180A" w:rsidRDefault="001F180A" w:rsidP="001F180A"/>
    <w:p w14:paraId="1C7C7E48" w14:textId="77777777" w:rsidR="001F180A" w:rsidRDefault="001F180A" w:rsidP="001F180A"/>
    <w:p w14:paraId="3CE89702" w14:textId="77777777" w:rsidR="001F180A" w:rsidRDefault="001F180A" w:rsidP="001F180A"/>
    <w:p w14:paraId="15EBE63F" w14:textId="77777777" w:rsidR="001F180A" w:rsidRDefault="001F180A" w:rsidP="001F180A"/>
    <w:p w14:paraId="36DF104D" w14:textId="77777777" w:rsidR="001F180A" w:rsidRDefault="001F180A" w:rsidP="001F180A"/>
    <w:p w14:paraId="426629FF" w14:textId="77777777" w:rsidR="001F180A" w:rsidRDefault="001F180A" w:rsidP="001F180A"/>
    <w:p w14:paraId="57C15BE3" w14:textId="77777777" w:rsidR="001F180A" w:rsidRDefault="001F180A" w:rsidP="001F180A"/>
    <w:p w14:paraId="7E391A16" w14:textId="77777777" w:rsidR="001F180A" w:rsidRDefault="001F180A" w:rsidP="001F180A"/>
    <w:p w14:paraId="7BA55FEB" w14:textId="77777777" w:rsidR="001F180A" w:rsidRDefault="001F180A" w:rsidP="001F180A"/>
    <w:p w14:paraId="75E6CCF8" w14:textId="77777777" w:rsidR="001F180A" w:rsidRPr="001F180A" w:rsidRDefault="001F180A" w:rsidP="001F180A">
      <w:pPr>
        <w:rPr>
          <w:b/>
          <w:bCs/>
          <w:sz w:val="28"/>
          <w:szCs w:val="28"/>
        </w:rPr>
      </w:pPr>
      <w:r w:rsidRPr="001F180A">
        <w:rPr>
          <w:b/>
          <w:bCs/>
          <w:sz w:val="28"/>
          <w:szCs w:val="28"/>
        </w:rPr>
        <w:lastRenderedPageBreak/>
        <w:t>Conceptos fundamentales de propiedad intelectual</w:t>
      </w:r>
    </w:p>
    <w:p w14:paraId="1AA194E0" w14:textId="6FAABDF8" w:rsidR="001F180A" w:rsidRPr="001F180A" w:rsidRDefault="001F180A" w:rsidP="001F180A">
      <w:pPr>
        <w:rPr>
          <w:b/>
          <w:bCs/>
        </w:rPr>
      </w:pPr>
      <w:r w:rsidRPr="001F180A">
        <w:rPr>
          <w:b/>
          <w:bCs/>
        </w:rPr>
        <w:t>La patente como figura jurídica</w:t>
      </w:r>
    </w:p>
    <w:p w14:paraId="79017BAF" w14:textId="0446B63A" w:rsidR="001F180A" w:rsidRDefault="001F180A" w:rsidP="001F180A">
      <w:r>
        <w:t>Una patente es un derecho exclusivo otorgado por el Estado a una persona natural o jurídica sobre una invención, permitiéndole explotar de manera exclusiva dicha creación por un período determinado. Para que una invención sea patentable, debe cumplir con tres requisitos fundamentales: novedad, nivel inventivo y aplicación industrial.</w:t>
      </w:r>
    </w:p>
    <w:p w14:paraId="262CF642" w14:textId="7A6DF1D6" w:rsidR="001F180A" w:rsidRDefault="001F180A" w:rsidP="001F180A">
      <w:r>
        <w:t>Tradicionalmente, las patentes han estado asociadas a invenciones de carácter técnico, como dispositivos mecánicos, procesos industriales o productos químicos, lo que ha generado controversias al intentar aplicar esta figura a creaciones de naturaleza abstracta o lógica, como el software.</w:t>
      </w:r>
    </w:p>
    <w:p w14:paraId="0251CD30" w14:textId="27C98E89" w:rsidR="001F180A" w:rsidRPr="001F180A" w:rsidRDefault="001F180A" w:rsidP="001F180A">
      <w:pPr>
        <w:rPr>
          <w:b/>
          <w:bCs/>
        </w:rPr>
      </w:pPr>
      <w:r w:rsidRPr="001F180A">
        <w:rPr>
          <w:b/>
          <w:bCs/>
        </w:rPr>
        <w:t>Software y algoritmos</w:t>
      </w:r>
    </w:p>
    <w:p w14:paraId="0CD222D6" w14:textId="66E3974D" w:rsidR="001F180A" w:rsidRDefault="001F180A" w:rsidP="001F180A">
      <w:r>
        <w:t>El software puede definirse como un conjunto organizado de instrucciones que permiten a un sistema informático ejecutar determinadas tareas. Por su parte, los algoritmos son secuencias lógicas o métodos matemáticos diseñados para resolver un problema específico.</w:t>
      </w:r>
    </w:p>
    <w:p w14:paraId="748F182C" w14:textId="77777777" w:rsidR="001F180A" w:rsidRDefault="001F180A" w:rsidP="001F180A">
      <w:r>
        <w:t>Desde el punto de vista jurídico, tanto el software como los algoritmos presentan una naturaleza intangible, lo cual plantea interrogantes sobre su clasificación como invenciones técnicas o como expresiones del conocimiento humano.</w:t>
      </w:r>
    </w:p>
    <w:p w14:paraId="309F452C" w14:textId="77777777" w:rsidR="001F180A" w:rsidRDefault="001F180A" w:rsidP="001F180A"/>
    <w:p w14:paraId="692D861E" w14:textId="77777777" w:rsidR="001F180A" w:rsidRPr="001F180A" w:rsidRDefault="001F180A" w:rsidP="001F180A">
      <w:pPr>
        <w:rPr>
          <w:b/>
          <w:bCs/>
          <w:sz w:val="28"/>
          <w:szCs w:val="28"/>
        </w:rPr>
      </w:pPr>
      <w:r w:rsidRPr="001F180A">
        <w:rPr>
          <w:b/>
          <w:bCs/>
          <w:sz w:val="28"/>
          <w:szCs w:val="28"/>
        </w:rPr>
        <w:t>La legislación andina y la propiedad industrial</w:t>
      </w:r>
    </w:p>
    <w:p w14:paraId="32AD3EBB" w14:textId="443048DA" w:rsidR="001F180A" w:rsidRPr="001F180A" w:rsidRDefault="001F180A" w:rsidP="001F180A">
      <w:pPr>
        <w:rPr>
          <w:b/>
          <w:bCs/>
        </w:rPr>
      </w:pPr>
      <w:r w:rsidRPr="001F180A">
        <w:rPr>
          <w:b/>
          <w:bCs/>
        </w:rPr>
        <w:t>La Comunidad Andina de Naciones (CAN)</w:t>
      </w:r>
    </w:p>
    <w:p w14:paraId="3B4C6AA5" w14:textId="77777777" w:rsidR="001F180A" w:rsidRDefault="001F180A" w:rsidP="001F180A">
      <w:r>
        <w:t>La Comunidad Andina de Naciones es un organismo de integración regional que busca armonizar políticas económicas, sociales y jurídicas entre sus países miembros. En materia de propiedad intelectual, la CAN ha establecido normas comunes para garantizar una protección equilibrada que favorezca tanto la innovación como el interés público.</w:t>
      </w:r>
    </w:p>
    <w:p w14:paraId="7DA40631" w14:textId="77777777" w:rsidR="001F180A" w:rsidRDefault="001F180A" w:rsidP="001F180A"/>
    <w:p w14:paraId="2420DB8A" w14:textId="77777777" w:rsidR="001F180A" w:rsidRDefault="001F180A" w:rsidP="001F180A"/>
    <w:p w14:paraId="6F2E01F4" w14:textId="77777777" w:rsidR="001F180A" w:rsidRDefault="001F180A" w:rsidP="001F180A"/>
    <w:p w14:paraId="567EBF41" w14:textId="77777777" w:rsidR="001F180A" w:rsidRDefault="001F180A" w:rsidP="001F180A"/>
    <w:p w14:paraId="2EC045CC" w14:textId="577C082A" w:rsidR="001F180A" w:rsidRPr="001F180A" w:rsidRDefault="001F180A" w:rsidP="001F180A">
      <w:pPr>
        <w:rPr>
          <w:b/>
          <w:bCs/>
        </w:rPr>
      </w:pPr>
      <w:r w:rsidRPr="001F180A">
        <w:rPr>
          <w:b/>
          <w:bCs/>
        </w:rPr>
        <w:lastRenderedPageBreak/>
        <w:t>La Decisión 486: Régimen Común sobre Propiedad Industrial</w:t>
      </w:r>
    </w:p>
    <w:p w14:paraId="0EEB6603" w14:textId="4C520E25" w:rsidR="001F180A" w:rsidRDefault="001F180A" w:rsidP="001F180A">
      <w:r>
        <w:t>La Decisión 486 constituye el principal instrumento normativo de la Comunidad Andina en materia de propiedad industrial. Este régimen establece de forma clara los criterios para determinar qué se considera una invención patentable y cuáles creaciones quedan excluidas de dicha protección.</w:t>
      </w:r>
    </w:p>
    <w:p w14:paraId="77B54306" w14:textId="77777777" w:rsidR="001F180A" w:rsidRDefault="001F180A" w:rsidP="001F180A">
      <w:r>
        <w:t>En su articulado, la Decisión 486 señala expresamente que no se consideran invenciones los programas de computación “como tales”, los métodos matemáticos y los algoritmos. Esta disposición refleja una postura restrictiva frente a la patentabilidad del software, diferenciando entre una invención técnica y una creación de carácter lógico o abstracto.</w:t>
      </w:r>
    </w:p>
    <w:p w14:paraId="7FD93762" w14:textId="77777777" w:rsidR="001F180A" w:rsidRDefault="001F180A" w:rsidP="001F180A"/>
    <w:p w14:paraId="59D6E183" w14:textId="7E0B1E48" w:rsidR="001F180A" w:rsidRPr="00017FF7" w:rsidRDefault="001F180A" w:rsidP="001F180A">
      <w:pPr>
        <w:rPr>
          <w:b/>
          <w:bCs/>
        </w:rPr>
      </w:pPr>
      <w:r w:rsidRPr="00017FF7">
        <w:rPr>
          <w:b/>
          <w:bCs/>
        </w:rPr>
        <w:t>Exclusión de la patentabilidad del software y los algoritmos</w:t>
      </w:r>
    </w:p>
    <w:p w14:paraId="54F14647" w14:textId="0B959AC8" w:rsidR="001F180A" w:rsidRDefault="001F180A" w:rsidP="001F180A">
      <w:r>
        <w:t>La exclusión del software y los algoritmos del régimen de patentes se fundamenta en la consideración de que estas creaciones no cumplen, por sí mismas, con el requisito de aplicación industrial en el sentido técnico tradicional. Además, se argumenta que patentar algoritmos podría limitar el acceso al conocimiento y obstaculizar la innovación, especialmente en contextos educativos y académicos.</w:t>
      </w:r>
    </w:p>
    <w:p w14:paraId="6621BCE4" w14:textId="51BB0EFD" w:rsidR="00017FF7" w:rsidRDefault="001F180A" w:rsidP="001F180A">
      <w:r>
        <w:t>Desde una visión crítica, esta exclusión busca evitar la apropiación privada de conocimientos fundamentales que sirven de base para múltiples desarrollos tecnológicos, promoviendo así un modelo de innovación más abierto y colaborativo.</w:t>
      </w:r>
    </w:p>
    <w:p w14:paraId="3E6CB927" w14:textId="77777777" w:rsidR="00017FF7" w:rsidRDefault="00017FF7" w:rsidP="001F180A"/>
    <w:p w14:paraId="12486DA9" w14:textId="77777777" w:rsidR="001F180A" w:rsidRPr="00017FF7" w:rsidRDefault="001F180A" w:rsidP="001F180A">
      <w:pPr>
        <w:rPr>
          <w:b/>
          <w:bCs/>
          <w:sz w:val="28"/>
          <w:szCs w:val="28"/>
        </w:rPr>
      </w:pPr>
      <w:r w:rsidRPr="00017FF7">
        <w:rPr>
          <w:b/>
          <w:bCs/>
          <w:sz w:val="28"/>
          <w:szCs w:val="28"/>
        </w:rPr>
        <w:t>La posición del Estado venezolano</w:t>
      </w:r>
    </w:p>
    <w:p w14:paraId="451BE9F5" w14:textId="375853BD" w:rsidR="001F180A" w:rsidRPr="00017FF7" w:rsidRDefault="001F180A" w:rsidP="001F180A">
      <w:pPr>
        <w:rPr>
          <w:b/>
          <w:bCs/>
        </w:rPr>
      </w:pPr>
      <w:r w:rsidRPr="00017FF7">
        <w:rPr>
          <w:b/>
          <w:bCs/>
        </w:rPr>
        <w:t>Influencia de la legislación andina en Venezuela</w:t>
      </w:r>
    </w:p>
    <w:p w14:paraId="5AEB33BE" w14:textId="77777777" w:rsidR="001F180A" w:rsidRDefault="001F180A" w:rsidP="001F180A">
      <w:r>
        <w:t>Históricamente, Venezuela ha adoptado los principios establecidos en la normativa andina en materia de propiedad intelectual. En este marco, el Estado venezolano ha mantenido una postura contraria a la patentabilidad del software y los algoritmos, alineándose con lo establecido en la Decisión 486.</w:t>
      </w:r>
    </w:p>
    <w:p w14:paraId="0C2CF4C4" w14:textId="77777777" w:rsidR="001F180A" w:rsidRDefault="001F180A" w:rsidP="001F180A"/>
    <w:p w14:paraId="2D9617A7" w14:textId="77777777" w:rsidR="00017FF7" w:rsidRDefault="00017FF7" w:rsidP="001F180A"/>
    <w:p w14:paraId="38279F47" w14:textId="77777777" w:rsidR="00017FF7" w:rsidRDefault="00017FF7" w:rsidP="001F180A"/>
    <w:p w14:paraId="67F995AD" w14:textId="77777777" w:rsidR="00017FF7" w:rsidRDefault="00017FF7" w:rsidP="001F180A"/>
    <w:p w14:paraId="03854325" w14:textId="6CEFFFA9" w:rsidR="001F180A" w:rsidRPr="00017FF7" w:rsidRDefault="001F180A" w:rsidP="001F180A">
      <w:pPr>
        <w:rPr>
          <w:b/>
          <w:bCs/>
        </w:rPr>
      </w:pPr>
      <w:r w:rsidRPr="00017FF7">
        <w:rPr>
          <w:b/>
          <w:bCs/>
        </w:rPr>
        <w:lastRenderedPageBreak/>
        <w:t>Protección alternativa: derechos de autor</w:t>
      </w:r>
    </w:p>
    <w:p w14:paraId="4A481C98" w14:textId="4E2FF339" w:rsidR="001F180A" w:rsidRDefault="001F180A" w:rsidP="001F180A">
      <w:r>
        <w:t>En lugar de patentes, el software en Venezuela se protege a través del derecho de autor, el cual salvaguarda la expresión del programa sin otorgar monopolios sobre las ideas o métodos subyacentes. Este enfoque permite reconocer la autoría de los desarrolladores sin restringir el uso del conocimiento lógico y matemático que sustenta los programas informáticos.</w:t>
      </w:r>
    </w:p>
    <w:p w14:paraId="33225647" w14:textId="2092C33A" w:rsidR="001F180A" w:rsidRDefault="001F180A" w:rsidP="001F180A">
      <w:r>
        <w:t>El Servicio Autónomo de la Propiedad Intelectual (SAPI) es el ente encargado de administrar estos registros, garantizando la protección legal correspondiente.</w:t>
      </w:r>
    </w:p>
    <w:p w14:paraId="192D81D6" w14:textId="395842AA" w:rsidR="001F180A" w:rsidRPr="00017FF7" w:rsidRDefault="001F180A" w:rsidP="001F180A">
      <w:pPr>
        <w:rPr>
          <w:b/>
          <w:bCs/>
        </w:rPr>
      </w:pPr>
      <w:r w:rsidRPr="00017FF7">
        <w:rPr>
          <w:b/>
          <w:bCs/>
        </w:rPr>
        <w:t>Implicaciones para el desarrollo tecnológico</w:t>
      </w:r>
    </w:p>
    <w:p w14:paraId="3D0F3EB0" w14:textId="0A024F40" w:rsidR="001F180A" w:rsidRDefault="001F180A" w:rsidP="001F180A">
      <w:r>
        <w:t>La no patentabilidad del software y los algoritmos tiene importantes implicaciones para el desarrollo tecnológico nacional. Por un lado, favorece el acceso al conocimiento y el fortalecimiento del software libre, alineándose con políticas estatales orientadas a la soberanía tecnológica.</w:t>
      </w:r>
    </w:p>
    <w:p w14:paraId="3C4838DE" w14:textId="15A6F569" w:rsidR="001F180A" w:rsidRDefault="001F180A" w:rsidP="001F180A">
      <w:r>
        <w:t>Por otro lado, puede representar un desafío para ciertos emprendimientos tecnológicos que buscan modelos de protección más restrictivos. No obstante, en el ámbito académico y universitario, este marco legal resulta favorable para la investigación, la formación profesional y el desarrollo de proyectos tecnológicos con impacto social.</w:t>
      </w:r>
    </w:p>
    <w:p w14:paraId="39BA7A29" w14:textId="77777777" w:rsidR="001F180A" w:rsidRDefault="001F180A" w:rsidP="001F180A">
      <w:r>
        <w:t>En este contexto, comprender la legislación vigente es fundamental para futuros desarrolladores y proyectos de software, los cuales deberán ajustarse a los mecanismos legales disponibles para la protección de sus creaciones.</w:t>
      </w:r>
    </w:p>
    <w:p w14:paraId="41ED44BF" w14:textId="77777777" w:rsidR="001F180A" w:rsidRDefault="001F180A" w:rsidP="001F180A"/>
    <w:p w14:paraId="3E822C0D" w14:textId="77777777" w:rsidR="00017FF7" w:rsidRDefault="00017FF7" w:rsidP="001F180A"/>
    <w:p w14:paraId="2241E798" w14:textId="77777777" w:rsidR="00017FF7" w:rsidRDefault="00017FF7" w:rsidP="001F180A"/>
    <w:p w14:paraId="22EB9E44" w14:textId="77777777" w:rsidR="00017FF7" w:rsidRDefault="00017FF7" w:rsidP="001F180A"/>
    <w:p w14:paraId="1D87A2D8" w14:textId="77777777" w:rsidR="00017FF7" w:rsidRDefault="00017FF7" w:rsidP="001F180A"/>
    <w:p w14:paraId="5E255271" w14:textId="77777777" w:rsidR="00017FF7" w:rsidRDefault="00017FF7" w:rsidP="001F180A"/>
    <w:p w14:paraId="0B2B5C9A" w14:textId="77777777" w:rsidR="00017FF7" w:rsidRDefault="00017FF7" w:rsidP="001F180A"/>
    <w:p w14:paraId="33ABBBC0" w14:textId="77777777" w:rsidR="00017FF7" w:rsidRDefault="00017FF7" w:rsidP="001F180A"/>
    <w:p w14:paraId="06200FC6" w14:textId="77777777" w:rsidR="00017FF7" w:rsidRDefault="00017FF7" w:rsidP="001F180A"/>
    <w:p w14:paraId="4A058DFA" w14:textId="1709D28F" w:rsidR="001F180A" w:rsidRPr="00017FF7" w:rsidRDefault="001F180A" w:rsidP="001F180A">
      <w:pPr>
        <w:rPr>
          <w:b/>
          <w:bCs/>
        </w:rPr>
      </w:pPr>
      <w:r w:rsidRPr="00017FF7">
        <w:rPr>
          <w:b/>
          <w:bCs/>
        </w:rPr>
        <w:lastRenderedPageBreak/>
        <w:t>Análisis crítico</w:t>
      </w:r>
    </w:p>
    <w:p w14:paraId="5F884124" w14:textId="6EDF7131" w:rsidR="001F180A" w:rsidRDefault="001F180A" w:rsidP="001F180A">
      <w:r>
        <w:t>Desde una perspectiva crítica, la legislación andina refleja una postura que prioriza el interés colectivo sobre la privatización del conocimiento. Si bien este enfoque puede limitar ciertos incentivos económicos, también promueve un ecosistema tecnológico más inclusivo y accesible.</w:t>
      </w:r>
    </w:p>
    <w:p w14:paraId="424C91E4" w14:textId="0D065C51" w:rsidR="001F180A" w:rsidRDefault="001F180A" w:rsidP="001F180A">
      <w:r>
        <w:t>El desafío para el Estado venezolano consiste en equilibrar la protección de los creadores con la necesidad de garantizar el acceso al conocimiento, fomentando la innovación sin caer en modelos de monopolización tecnológica.</w:t>
      </w:r>
    </w:p>
    <w:p w14:paraId="3BB58B02" w14:textId="4810381D" w:rsidR="001F180A" w:rsidRPr="00017FF7" w:rsidRDefault="001F180A" w:rsidP="001F180A">
      <w:pPr>
        <w:rPr>
          <w:b/>
          <w:bCs/>
        </w:rPr>
      </w:pPr>
      <w:r w:rsidRPr="00017FF7">
        <w:rPr>
          <w:b/>
          <w:bCs/>
        </w:rPr>
        <w:t>Conclusión</w:t>
      </w:r>
    </w:p>
    <w:p w14:paraId="7E243AF6" w14:textId="31457C37" w:rsidR="001F180A" w:rsidRDefault="001F180A" w:rsidP="001F180A">
      <w:r>
        <w:t>La legislación andina, a través de la Decisión 486, establece de manera clara la exclusión del software y los algoritmos del régimen de patentes, postura que ha sido adoptada por el Estado venezolano. Este enfoque responde a una visión crítica de la propiedad intelectual, orientada a proteger el conocimiento como un bien social y estratégico.</w:t>
      </w:r>
    </w:p>
    <w:p w14:paraId="638DE644" w14:textId="4EF6DFC2" w:rsidR="000614F4" w:rsidRDefault="001F180A" w:rsidP="001F180A">
      <w:r>
        <w:t>Para los estudiantes y profesionales del área informática, comprender este marco legal resulta esencial, ya que define las posibilidades y limitaciones en la protección de las creaciones tecnológicas, así como su impacto en el desarrollo nacional.</w:t>
      </w:r>
    </w:p>
    <w:sectPr w:rsidR="00061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0A"/>
    <w:rsid w:val="00017FF7"/>
    <w:rsid w:val="000614F4"/>
    <w:rsid w:val="001F180A"/>
    <w:rsid w:val="002B1DE0"/>
    <w:rsid w:val="00632569"/>
    <w:rsid w:val="00C74498"/>
    <w:rsid w:val="00D45F3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9886"/>
  <w15:chartTrackingRefBased/>
  <w15:docId w15:val="{16D76D8E-7ED4-41DC-88F4-83A00721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1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1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18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18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18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18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8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8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8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18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18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18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18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18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18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8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8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80A"/>
    <w:rPr>
      <w:rFonts w:eastAsiaTheme="majorEastAsia" w:cstheme="majorBidi"/>
      <w:color w:val="272727" w:themeColor="text1" w:themeTint="D8"/>
    </w:rPr>
  </w:style>
  <w:style w:type="paragraph" w:styleId="Ttulo">
    <w:name w:val="Title"/>
    <w:basedOn w:val="Normal"/>
    <w:next w:val="Normal"/>
    <w:link w:val="TtuloCar"/>
    <w:uiPriority w:val="10"/>
    <w:qFormat/>
    <w:rsid w:val="001F1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8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8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8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80A"/>
    <w:pPr>
      <w:spacing w:before="160"/>
      <w:jc w:val="center"/>
    </w:pPr>
    <w:rPr>
      <w:i/>
      <w:iCs/>
      <w:color w:val="404040" w:themeColor="text1" w:themeTint="BF"/>
    </w:rPr>
  </w:style>
  <w:style w:type="character" w:customStyle="1" w:styleId="CitaCar">
    <w:name w:val="Cita Car"/>
    <w:basedOn w:val="Fuentedeprrafopredeter"/>
    <w:link w:val="Cita"/>
    <w:uiPriority w:val="29"/>
    <w:rsid w:val="001F180A"/>
    <w:rPr>
      <w:i/>
      <w:iCs/>
      <w:color w:val="404040" w:themeColor="text1" w:themeTint="BF"/>
    </w:rPr>
  </w:style>
  <w:style w:type="paragraph" w:styleId="Prrafodelista">
    <w:name w:val="List Paragraph"/>
    <w:basedOn w:val="Normal"/>
    <w:uiPriority w:val="34"/>
    <w:qFormat/>
    <w:rsid w:val="001F180A"/>
    <w:pPr>
      <w:ind w:left="720"/>
      <w:contextualSpacing/>
    </w:pPr>
  </w:style>
  <w:style w:type="character" w:styleId="nfasisintenso">
    <w:name w:val="Intense Emphasis"/>
    <w:basedOn w:val="Fuentedeprrafopredeter"/>
    <w:uiPriority w:val="21"/>
    <w:qFormat/>
    <w:rsid w:val="001F180A"/>
    <w:rPr>
      <w:i/>
      <w:iCs/>
      <w:color w:val="0F4761" w:themeColor="accent1" w:themeShade="BF"/>
    </w:rPr>
  </w:style>
  <w:style w:type="paragraph" w:styleId="Citadestacada">
    <w:name w:val="Intense Quote"/>
    <w:basedOn w:val="Normal"/>
    <w:next w:val="Normal"/>
    <w:link w:val="CitadestacadaCar"/>
    <w:uiPriority w:val="30"/>
    <w:qFormat/>
    <w:rsid w:val="001F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180A"/>
    <w:rPr>
      <w:i/>
      <w:iCs/>
      <w:color w:val="0F4761" w:themeColor="accent1" w:themeShade="BF"/>
    </w:rPr>
  </w:style>
  <w:style w:type="character" w:styleId="Referenciaintensa">
    <w:name w:val="Intense Reference"/>
    <w:basedOn w:val="Fuentedeprrafopredeter"/>
    <w:uiPriority w:val="32"/>
    <w:qFormat/>
    <w:rsid w:val="001F1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141283">
      <w:bodyDiv w:val="1"/>
      <w:marLeft w:val="0"/>
      <w:marRight w:val="0"/>
      <w:marTop w:val="0"/>
      <w:marBottom w:val="0"/>
      <w:divBdr>
        <w:top w:val="none" w:sz="0" w:space="0" w:color="auto"/>
        <w:left w:val="none" w:sz="0" w:space="0" w:color="auto"/>
        <w:bottom w:val="none" w:sz="0" w:space="0" w:color="auto"/>
        <w:right w:val="none" w:sz="0" w:space="0" w:color="auto"/>
      </w:divBdr>
    </w:div>
    <w:div w:id="1269388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1131</Words>
  <Characters>6221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2025-12-29T00:03:00Z</dcterms:created>
  <dcterms:modified xsi:type="dcterms:W3CDTF">2025-12-29T00:34:00Z</dcterms:modified>
</cp:coreProperties>
</file>