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17035157" w:rsidR="00D91678" w:rsidRPr="00ED1FC6" w:rsidRDefault="00D91678" w:rsidP="00D314FA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D314FA"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2039604A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D424C4">
        <w:rPr>
          <w:rFonts w:hint="eastAsia"/>
        </w:rPr>
        <w:t>账户总</w:t>
      </w:r>
      <w:proofErr w:type="gramStart"/>
      <w:r w:rsidR="00D424C4">
        <w:rPr>
          <w:rFonts w:hint="eastAsia"/>
        </w:rPr>
        <w:t>览</w:t>
      </w:r>
      <w:proofErr w:type="gramEnd"/>
      <w:r w:rsidR="003B59DB">
        <w:rPr>
          <w:rFonts w:hint="eastAsia"/>
        </w:rPr>
        <w:t>（</w:t>
      </w:r>
      <w:r w:rsidR="00D424C4">
        <w:rPr>
          <w:rFonts w:hint="eastAsia"/>
        </w:rPr>
        <w:t>变更</w:t>
      </w:r>
      <w:r w:rsidR="003B59DB">
        <w:t>）</w:t>
      </w:r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630DAD6C" w14:textId="050BFD6F" w:rsidR="00D91678" w:rsidRPr="0021789A" w:rsidRDefault="00D91678" w:rsidP="00D91678">
      <w:pPr>
        <w:ind w:firstLineChars="0" w:firstLine="0"/>
        <w:jc w:val="center"/>
      </w:pPr>
    </w:p>
    <w:p w14:paraId="59C22F69" w14:textId="38063822" w:rsidR="00D91678" w:rsidRPr="009F02AF" w:rsidRDefault="000D2EE3" w:rsidP="000D2EE3">
      <w:pPr>
        <w:ind w:firstLineChars="83" w:firstLine="199"/>
        <w:rPr>
          <w:color w:val="FF0000"/>
        </w:rPr>
      </w:pPr>
      <w:r>
        <w:rPr>
          <w:rFonts w:hint="eastAsia"/>
          <w:color w:val="FF0000"/>
        </w:rPr>
        <w:t>无</w:t>
      </w: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65B05B07" w:rsidR="00D91678" w:rsidRDefault="0059122A" w:rsidP="00D3535E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账户</w:t>
      </w:r>
      <w:r>
        <w:rPr>
          <w:b/>
        </w:rPr>
        <w:t>总</w:t>
      </w:r>
      <w:proofErr w:type="gramStart"/>
      <w:r>
        <w:rPr>
          <w:b/>
        </w:rPr>
        <w:t>览</w:t>
      </w:r>
      <w:proofErr w:type="gramEnd"/>
      <w:r w:rsidR="00D91678" w:rsidRPr="00811BE5">
        <w:rPr>
          <w:b/>
        </w:rPr>
        <w:t>界面原型图</w:t>
      </w:r>
    </w:p>
    <w:p w14:paraId="18451EF7" w14:textId="70B0DDDB" w:rsidR="006160E5" w:rsidRPr="00870D84" w:rsidRDefault="00A9131E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4C3C1810" wp14:editId="22B8A3D1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8D5" w14:textId="77777777" w:rsidR="00D91678" w:rsidRPr="00932CFE" w:rsidRDefault="00D91678" w:rsidP="00D91678">
      <w:pPr>
        <w:pStyle w:val="a5"/>
        <w:numPr>
          <w:ilvl w:val="0"/>
          <w:numId w:val="2"/>
        </w:numPr>
        <w:spacing w:before="163" w:after="163"/>
        <w:ind w:firstLineChars="0"/>
        <w:rPr>
          <w:b/>
        </w:rPr>
      </w:pPr>
      <w:r w:rsidRPr="00932CFE">
        <w:rPr>
          <w:b/>
        </w:rPr>
        <w:t>界面元素及逻辑说明</w:t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060F75C4" w14:textId="4E7FB383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</w:t>
      </w:r>
      <w:r>
        <w:t>号</w:t>
      </w:r>
      <w:r>
        <w:rPr>
          <w:rFonts w:hint="eastAsia"/>
        </w:rPr>
        <w:t>、用户名、</w:t>
      </w:r>
      <w:r>
        <w:t>客户名称</w:t>
      </w:r>
      <w:r>
        <w:rPr>
          <w:rFonts w:hint="eastAsia"/>
        </w:rPr>
        <w:t>、</w:t>
      </w:r>
      <w:r>
        <w:t>手机号、邮箱：手动收入后可查询，支持</w:t>
      </w:r>
      <w:r>
        <w:rPr>
          <w:rFonts w:hint="eastAsia"/>
        </w:rPr>
        <w:t>前几位</w:t>
      </w:r>
      <w:r>
        <w:t>模糊搜索；</w:t>
      </w:r>
    </w:p>
    <w:p w14:paraId="141687FA" w14:textId="2D139570" w:rsidR="007D12ED" w:rsidRDefault="007D12ED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账户状态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正常、</w:t>
      </w:r>
      <w:r>
        <w:t>冻结</w:t>
      </w:r>
      <w:r w:rsidR="001D744E">
        <w:rPr>
          <w:rFonts w:hint="eastAsia"/>
        </w:rPr>
        <w:t>、</w:t>
      </w:r>
      <w:r w:rsidR="001D744E">
        <w:t>已销户</w:t>
      </w:r>
      <w:r>
        <w:t>”</w:t>
      </w:r>
      <w:r>
        <w:rPr>
          <w:rFonts w:hint="eastAsia"/>
        </w:rPr>
        <w:t>；</w:t>
      </w:r>
    </w:p>
    <w:p w14:paraId="3DD58C6F" w14:textId="77777777" w:rsidR="00D91678" w:rsidRDefault="009C519A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客户类型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全部、个人、有限责任公司、合伙企业</w:t>
      </w:r>
      <w:r w:rsidR="00D611BD">
        <w:t>”</w:t>
      </w:r>
      <w:r w:rsidR="000355CA">
        <w:rPr>
          <w:rFonts w:hint="eastAsia"/>
        </w:rPr>
        <w:t>；</w:t>
      </w:r>
    </w:p>
    <w:p w14:paraId="44795684" w14:textId="799641B7" w:rsidR="00034620" w:rsidRDefault="00034620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账户类型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现金</w:t>
      </w:r>
      <w:r>
        <w:t>、</w:t>
      </w:r>
      <w:r>
        <w:rPr>
          <w:rFonts w:hint="eastAsia"/>
        </w:rPr>
        <w:t>保证金</w:t>
      </w:r>
      <w:r>
        <w:t>”</w:t>
      </w:r>
      <w:r>
        <w:rPr>
          <w:rFonts w:hint="eastAsia"/>
        </w:rPr>
        <w:t>；</w:t>
      </w:r>
    </w:p>
    <w:p w14:paraId="7DF8D7C5" w14:textId="4CCF9F93" w:rsidR="000355CA" w:rsidRDefault="00A9131E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开户</w:t>
      </w:r>
      <w:r w:rsidR="00675B0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>
        <w:t>设置时间段区间</w:t>
      </w:r>
      <w:r w:rsidR="00026097">
        <w:rPr>
          <w:rFonts w:hint="eastAsia"/>
        </w:rPr>
        <w:t>，</w:t>
      </w:r>
      <w:r w:rsidR="00026097">
        <w:t>默认</w:t>
      </w:r>
      <w:r w:rsidR="00C05A11">
        <w:rPr>
          <w:rFonts w:hint="eastAsia"/>
        </w:rPr>
        <w:t>为空</w:t>
      </w:r>
      <w:r w:rsidR="000355CA">
        <w:rPr>
          <w:rFonts w:hint="eastAsia"/>
        </w:rPr>
        <w:t>；</w:t>
      </w:r>
      <w:bookmarkStart w:id="1" w:name="_GoBack"/>
      <w:bookmarkEnd w:id="1"/>
    </w:p>
    <w:p w14:paraId="48895B02" w14:textId="5B7B1E19" w:rsidR="007E6902" w:rsidRDefault="007E6902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开户情况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t>全部、</w:t>
      </w:r>
      <w:r>
        <w:rPr>
          <w:rFonts w:hint="eastAsia"/>
        </w:rPr>
        <w:t>已开户</w:t>
      </w:r>
      <w:r>
        <w:t>、</w:t>
      </w:r>
      <w:r>
        <w:rPr>
          <w:rFonts w:hint="eastAsia"/>
        </w:rPr>
        <w:t>未</w:t>
      </w:r>
      <w:r>
        <w:t>开户</w:t>
      </w:r>
      <w:r>
        <w:t>”</w:t>
      </w:r>
      <w:r>
        <w:rPr>
          <w:rFonts w:hint="eastAsia"/>
        </w:rPr>
        <w:t>。</w:t>
      </w:r>
    </w:p>
    <w:p w14:paraId="4E7AAE41" w14:textId="77777777" w:rsidR="00D91678" w:rsidRPr="006B5E40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导出</w:t>
      </w:r>
      <w:r>
        <w:t>：</w:t>
      </w:r>
      <w:r>
        <w:rPr>
          <w:rFonts w:hint="eastAsia"/>
        </w:rPr>
        <w:t>可以</w:t>
      </w:r>
      <w:r>
        <w:t>一键</w:t>
      </w:r>
      <w:r>
        <w:rPr>
          <w:rFonts w:hint="eastAsia"/>
        </w:rPr>
        <w:t>导出相应</w:t>
      </w:r>
      <w:r>
        <w:t>状态</w:t>
      </w:r>
      <w:r>
        <w:rPr>
          <w:rFonts w:hint="eastAsia"/>
        </w:rPr>
        <w:t>或</w:t>
      </w:r>
      <w:r>
        <w:t>条件下的所有列表内容</w:t>
      </w:r>
      <w:r>
        <w:rPr>
          <w:rFonts w:hint="eastAsia"/>
        </w:rPr>
        <w:t>。</w:t>
      </w:r>
    </w:p>
    <w:p w14:paraId="537BE009" w14:textId="26F8FFE8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审核列表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41785E">
        <w:t>1</w:t>
      </w:r>
      <w:r w:rsidR="00184B0B">
        <w:t>2</w:t>
      </w:r>
      <w:r w:rsidR="0033089E">
        <w:rPr>
          <w:rFonts w:hint="eastAsia"/>
        </w:rPr>
        <w:t>项</w:t>
      </w:r>
      <w:r>
        <w:t>——</w:t>
      </w:r>
      <w:r w:rsidR="00970F27">
        <w:rPr>
          <w:rFonts w:hint="eastAsia"/>
        </w:rPr>
        <w:t>账户</w:t>
      </w:r>
      <w:r w:rsidR="00970F27">
        <w:t>号、</w:t>
      </w:r>
      <w:r>
        <w:t>用户名、</w:t>
      </w:r>
      <w:r w:rsidR="00034620">
        <w:rPr>
          <w:rFonts w:hint="eastAsia"/>
        </w:rPr>
        <w:t>客户名称</w:t>
      </w:r>
      <w:r>
        <w:t>、</w:t>
      </w:r>
      <w:r w:rsidR="00034620">
        <w:rPr>
          <w:rFonts w:hint="eastAsia"/>
        </w:rPr>
        <w:t>客户</w:t>
      </w:r>
      <w:r w:rsidR="00034620">
        <w:t>类型、</w:t>
      </w:r>
      <w:r w:rsidR="00034620">
        <w:rPr>
          <w:rFonts w:hint="eastAsia"/>
        </w:rPr>
        <w:t>国家</w:t>
      </w:r>
      <w:r w:rsidR="00034620">
        <w:t>地区、</w:t>
      </w:r>
      <w:r w:rsidR="00034620">
        <w:rPr>
          <w:rFonts w:hint="eastAsia"/>
        </w:rPr>
        <w:t>手机</w:t>
      </w:r>
      <w:r w:rsidR="00034620">
        <w:t>号码、</w:t>
      </w:r>
      <w:r w:rsidR="00034620">
        <w:rPr>
          <w:rFonts w:hint="eastAsia"/>
        </w:rPr>
        <w:t>邮箱</w:t>
      </w:r>
      <w:r w:rsidR="00034620">
        <w:t>、</w:t>
      </w:r>
      <w:r w:rsidR="00034620">
        <w:rPr>
          <w:rFonts w:hint="eastAsia"/>
        </w:rPr>
        <w:t>账户</w:t>
      </w:r>
      <w:r w:rsidR="00034620">
        <w:t>类型</w:t>
      </w:r>
      <w:r w:rsidR="00034620">
        <w:rPr>
          <w:rFonts w:hint="eastAsia"/>
        </w:rPr>
        <w:t>、</w:t>
      </w:r>
      <w:r w:rsidR="00184B0B">
        <w:rPr>
          <w:rFonts w:hint="eastAsia"/>
        </w:rPr>
        <w:t>开户</w:t>
      </w:r>
      <w:r>
        <w:t>时间、</w:t>
      </w:r>
      <w:r w:rsidR="00970F27">
        <w:rPr>
          <w:rFonts w:hint="eastAsia"/>
        </w:rPr>
        <w:t>账户</w:t>
      </w:r>
      <w:r w:rsidR="00970F27">
        <w:t>状态、</w:t>
      </w:r>
      <w:r w:rsidR="00184B0B">
        <w:rPr>
          <w:rFonts w:hint="eastAsia"/>
        </w:rPr>
        <w:t>开户</w:t>
      </w:r>
      <w:r w:rsidR="00184B0B">
        <w:t>情况</w:t>
      </w:r>
      <w:r w:rsidR="00184B0B">
        <w:rPr>
          <w:rFonts w:hint="eastAsia"/>
        </w:rPr>
        <w:t>、</w:t>
      </w:r>
      <w:r>
        <w:t>操作；</w:t>
      </w:r>
    </w:p>
    <w:p w14:paraId="524E8CBD" w14:textId="5737135B" w:rsidR="00D91678" w:rsidRDefault="006E0C08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开户</w:t>
      </w:r>
      <w:r w:rsidR="00D91678">
        <w:t>时间：精确到</w:t>
      </w:r>
      <w:r w:rsidR="00034620">
        <w:rPr>
          <w:rFonts w:hint="eastAsia"/>
        </w:rPr>
        <w:t>分钟；</w:t>
      </w:r>
    </w:p>
    <w:p w14:paraId="2A7A15D7" w14:textId="3F6DD50F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BB5C1B">
        <w:rPr>
          <w:rFonts w:hint="eastAsia"/>
        </w:rPr>
        <w:t>操作</w:t>
      </w:r>
      <w:r w:rsidRPr="00BB5C1B">
        <w:t>：</w:t>
      </w:r>
      <w:r w:rsidR="000C4024">
        <w:rPr>
          <w:rFonts w:hint="eastAsia"/>
        </w:rPr>
        <w:t>查看详情</w:t>
      </w:r>
      <w:r w:rsidRPr="00BB5C1B">
        <w:rPr>
          <w:rFonts w:hint="eastAsia"/>
        </w:rPr>
        <w:t>；</w:t>
      </w:r>
      <w:r w:rsidR="00346CD3">
        <w:rPr>
          <w:rFonts w:hint="eastAsia"/>
        </w:rPr>
        <w:t>点击</w:t>
      </w:r>
      <w:r w:rsidR="00346CD3">
        <w:t>展示首页如下图</w:t>
      </w:r>
    </w:p>
    <w:p w14:paraId="3DF43FB9" w14:textId="77777777" w:rsidR="00E967AE" w:rsidRPr="00A26AEC" w:rsidRDefault="00E967AE" w:rsidP="00E967AE">
      <w:pPr>
        <w:pStyle w:val="a5"/>
        <w:spacing w:before="163" w:after="163"/>
        <w:ind w:left="780" w:firstLineChars="0" w:firstLine="0"/>
      </w:pPr>
    </w:p>
    <w:p w14:paraId="1C2BB6AA" w14:textId="1E561E32" w:rsidR="00E967AE" w:rsidRPr="00E967AE" w:rsidRDefault="00E967AE" w:rsidP="00D3535E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详情</w:t>
      </w:r>
      <w:r w:rsidRPr="00811BE5">
        <w:rPr>
          <w:b/>
        </w:rPr>
        <w:t>界面原型图</w:t>
      </w:r>
      <w:r w:rsidR="005B22E1">
        <w:rPr>
          <w:rFonts w:hint="eastAsia"/>
          <w:b/>
        </w:rPr>
        <w:t>及</w:t>
      </w:r>
      <w:r w:rsidR="005B22E1">
        <w:rPr>
          <w:b/>
        </w:rPr>
        <w:t>逻辑</w:t>
      </w:r>
    </w:p>
    <w:p w14:paraId="14EAB9C6" w14:textId="6DA5A8B7" w:rsidR="00570800" w:rsidRDefault="00346CD3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7466A59" wp14:editId="2FC431DA">
            <wp:extent cx="5274310" cy="2431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9114" w14:textId="67984116" w:rsidR="00346CD3" w:rsidRDefault="00346CD3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5705D018" wp14:editId="4FC0F9E7">
            <wp:extent cx="5274310" cy="3426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0D78" w14:textId="77777777" w:rsidR="005B22E1" w:rsidRDefault="005B22E1" w:rsidP="005B22E1">
      <w:pPr>
        <w:pStyle w:val="a5"/>
        <w:numPr>
          <w:ilvl w:val="0"/>
          <w:numId w:val="17"/>
        </w:numPr>
        <w:spacing w:before="163" w:after="163"/>
        <w:ind w:firstLineChars="0"/>
      </w:pPr>
      <w:r>
        <w:rPr>
          <w:rFonts w:hint="eastAsia"/>
        </w:rPr>
        <w:t>展示</w:t>
      </w:r>
      <w:r>
        <w:t>调整</w:t>
      </w:r>
      <w:r>
        <w:rPr>
          <w:rFonts w:hint="eastAsia"/>
        </w:rPr>
        <w:t>部分说明</w:t>
      </w:r>
      <w:r>
        <w:t>：</w:t>
      </w:r>
    </w:p>
    <w:p w14:paraId="752AA1C3" w14:textId="33D302A0" w:rsidR="005B22E1" w:rsidRPr="00A60CCC" w:rsidRDefault="005B22E1" w:rsidP="00A60CCC">
      <w:pPr>
        <w:pStyle w:val="a5"/>
        <w:numPr>
          <w:ilvl w:val="0"/>
          <w:numId w:val="18"/>
        </w:numPr>
        <w:spacing w:before="163" w:after="163"/>
        <w:ind w:firstLineChars="0"/>
      </w:pPr>
      <w:r w:rsidRPr="00A60CCC">
        <w:rPr>
          <w:rFonts w:hint="eastAsia"/>
        </w:rPr>
        <w:t>新增</w:t>
      </w:r>
      <w:r w:rsidRPr="00A60CCC">
        <w:rPr>
          <w:rFonts w:hint="eastAsia"/>
        </w:rPr>
        <w:t>/</w:t>
      </w:r>
      <w:r w:rsidRPr="00A60CCC">
        <w:rPr>
          <w:rFonts w:hint="eastAsia"/>
        </w:rPr>
        <w:t>调整</w:t>
      </w:r>
      <w:r w:rsidRPr="00A60CCC">
        <w:t>——</w:t>
      </w:r>
      <w:r w:rsidRPr="00A60CCC">
        <w:rPr>
          <w:rFonts w:hint="eastAsia"/>
        </w:rPr>
        <w:t>账户</w:t>
      </w:r>
      <w:r w:rsidRPr="00A60CCC">
        <w:t>名称、账户号、账户</w:t>
      </w:r>
      <w:r w:rsidRPr="00A60CCC">
        <w:rPr>
          <w:rFonts w:hint="eastAsia"/>
        </w:rPr>
        <w:t>等级</w:t>
      </w:r>
      <w:r w:rsidRPr="00A60CCC">
        <w:t>、用户名、经纪人、</w:t>
      </w:r>
      <w:r w:rsidRPr="00A60CCC">
        <w:rPr>
          <w:rFonts w:hint="eastAsia"/>
        </w:rPr>
        <w:t>开户</w:t>
      </w:r>
      <w:r w:rsidRPr="00A60CCC">
        <w:t>时间</w:t>
      </w:r>
      <w:r w:rsidR="00A60CCC">
        <w:rPr>
          <w:rFonts w:hint="eastAsia"/>
        </w:rPr>
        <w:t>；</w:t>
      </w:r>
    </w:p>
    <w:p w14:paraId="68D11CBC" w14:textId="434F521E" w:rsidR="005B22E1" w:rsidRPr="00A60CCC" w:rsidRDefault="005B22E1" w:rsidP="00A60CCC">
      <w:pPr>
        <w:pStyle w:val="a5"/>
        <w:numPr>
          <w:ilvl w:val="0"/>
          <w:numId w:val="18"/>
        </w:numPr>
        <w:spacing w:before="163" w:after="163"/>
        <w:ind w:firstLineChars="0"/>
      </w:pPr>
      <w:r w:rsidRPr="00A60CCC">
        <w:rPr>
          <w:rFonts w:hint="eastAsia"/>
        </w:rPr>
        <w:t>机构</w:t>
      </w:r>
      <w:r w:rsidRPr="00A60CCC">
        <w:t>信息展示</w:t>
      </w:r>
      <w:r w:rsidRPr="00A60CCC">
        <w:rPr>
          <w:rFonts w:hint="eastAsia"/>
        </w:rPr>
        <w:t>：</w:t>
      </w:r>
      <w:r w:rsidRPr="00A60CCC">
        <w:t>分两部分展示</w:t>
      </w:r>
      <w:r w:rsidRPr="00A60CCC">
        <w:rPr>
          <w:rFonts w:hint="eastAsia"/>
        </w:rPr>
        <w:t>（</w:t>
      </w:r>
      <w:r w:rsidRPr="00A60CCC">
        <w:t>机构基本信息，</w:t>
      </w:r>
      <w:r w:rsidRPr="00A60CCC">
        <w:rPr>
          <w:rFonts w:hint="eastAsia"/>
        </w:rPr>
        <w:t>法人</w:t>
      </w:r>
      <w:r w:rsidRPr="00A60CCC">
        <w:t>代表）</w:t>
      </w:r>
    </w:p>
    <w:p w14:paraId="42260A5E" w14:textId="26E5962A" w:rsidR="005B22E1" w:rsidRDefault="005B22E1" w:rsidP="005B22E1">
      <w:pPr>
        <w:pStyle w:val="a5"/>
        <w:numPr>
          <w:ilvl w:val="0"/>
          <w:numId w:val="17"/>
        </w:numPr>
        <w:spacing w:before="163" w:after="163"/>
        <w:ind w:firstLineChars="0"/>
      </w:pPr>
      <w:r>
        <w:rPr>
          <w:rFonts w:hint="eastAsia"/>
        </w:rPr>
        <w:t>子账户概览说明</w:t>
      </w:r>
      <w:r>
        <w:t>：</w:t>
      </w:r>
    </w:p>
    <w:p w14:paraId="7AD3DD57" w14:textId="0D262255" w:rsidR="005B22E1" w:rsidRDefault="0073083D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FFCDF4" wp14:editId="449B81B4">
            <wp:extent cx="5274310" cy="27470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D7E7" w14:textId="4A4974D3" w:rsidR="005B22E1" w:rsidRDefault="005B22E1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7F139BBD" wp14:editId="1FC559E1">
            <wp:extent cx="5274310" cy="315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CE73" w14:textId="4DB144E3" w:rsidR="005B22E1" w:rsidRDefault="005B22E1" w:rsidP="00570800">
      <w:pPr>
        <w:spacing w:before="120" w:after="120"/>
        <w:ind w:firstLineChars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4ACA7CF" wp14:editId="2F269548">
            <wp:extent cx="5274310" cy="2185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63C0" w14:textId="77777777" w:rsidR="00B84B24" w:rsidRPr="00570800" w:rsidRDefault="00B84B24" w:rsidP="00570800">
      <w:pPr>
        <w:spacing w:before="120" w:after="120"/>
        <w:ind w:firstLineChars="0"/>
        <w:rPr>
          <w:rFonts w:ascii="楷体" w:eastAsia="楷体" w:hAnsi="楷体"/>
        </w:rPr>
      </w:pPr>
    </w:p>
    <w:p w14:paraId="68BD0895" w14:textId="344D9B37" w:rsidR="00A31D82" w:rsidRDefault="00A31D82" w:rsidP="00A31D82">
      <w:pPr>
        <w:pStyle w:val="a5"/>
        <w:numPr>
          <w:ilvl w:val="0"/>
          <w:numId w:val="21"/>
        </w:numPr>
        <w:spacing w:before="163" w:after="163"/>
        <w:ind w:firstLineChars="0"/>
      </w:pPr>
      <w:r>
        <w:rPr>
          <w:rFonts w:hint="eastAsia"/>
        </w:rPr>
        <w:t>筛选栏</w:t>
      </w:r>
    </w:p>
    <w:p w14:paraId="52F43E0F" w14:textId="5E8C0133" w:rsidR="00A31D82" w:rsidRPr="00A31D82" w:rsidRDefault="0073083D" w:rsidP="00A31D82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管理人</w:t>
      </w:r>
      <w:r w:rsidR="00A31D82" w:rsidRPr="00A31D82"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部门/职称</w:t>
      </w:r>
      <w:r w:rsidR="00A31D82" w:rsidRPr="00A31D82">
        <w:rPr>
          <w:rFonts w:ascii="楷体" w:eastAsia="楷体" w:hAnsi="楷体" w:hint="eastAsia"/>
        </w:rPr>
        <w:t>、</w:t>
      </w:r>
      <w:r w:rsidR="00A31D82" w:rsidRPr="00A31D82">
        <w:rPr>
          <w:rFonts w:ascii="楷体" w:eastAsia="楷体" w:hAnsi="楷体"/>
        </w:rPr>
        <w:t>手机号、邮箱：手动收入后可查询，支持</w:t>
      </w:r>
      <w:r w:rsidR="00A31D82" w:rsidRPr="00A31D82">
        <w:rPr>
          <w:rFonts w:ascii="楷体" w:eastAsia="楷体" w:hAnsi="楷体" w:hint="eastAsia"/>
        </w:rPr>
        <w:t>前几位</w:t>
      </w:r>
      <w:r w:rsidR="00A31D82" w:rsidRPr="00A31D82">
        <w:rPr>
          <w:rFonts w:ascii="楷体" w:eastAsia="楷体" w:hAnsi="楷体"/>
        </w:rPr>
        <w:t>模糊搜索；</w:t>
      </w:r>
    </w:p>
    <w:p w14:paraId="7EFDA607" w14:textId="1BA00001" w:rsidR="00A31D82" w:rsidRPr="00A31D82" w:rsidRDefault="00A31D82" w:rsidP="00A31D82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 w:rsidRPr="00A31D82">
        <w:rPr>
          <w:rFonts w:ascii="楷体" w:eastAsia="楷体" w:hAnsi="楷体" w:hint="eastAsia"/>
        </w:rPr>
        <w:t>账户</w:t>
      </w:r>
      <w:r w:rsidRPr="00A31D82">
        <w:rPr>
          <w:rFonts w:ascii="楷体" w:eastAsia="楷体" w:hAnsi="楷体"/>
        </w:rPr>
        <w:t>号：</w:t>
      </w:r>
      <w:r w:rsidRPr="00A31D82">
        <w:rPr>
          <w:rFonts w:ascii="楷体" w:eastAsia="楷体" w:hAnsi="楷体" w:hint="eastAsia"/>
        </w:rPr>
        <w:t>下拉选择</w:t>
      </w:r>
      <w:r w:rsidRPr="00A31D82">
        <w:rPr>
          <w:rFonts w:ascii="楷体" w:eastAsia="楷体" w:hAnsi="楷体"/>
        </w:rPr>
        <w:t>，包括“全部、</w:t>
      </w:r>
      <w:r>
        <w:rPr>
          <w:rFonts w:ascii="楷体" w:eastAsia="楷体" w:hAnsi="楷体" w:hint="eastAsia"/>
        </w:rPr>
        <w:t>子账户1、2、3</w:t>
      </w:r>
      <w:r>
        <w:rPr>
          <w:rFonts w:ascii="楷体" w:eastAsia="楷体" w:hAnsi="楷体"/>
        </w:rPr>
        <w:t>…</w:t>
      </w:r>
      <w:r w:rsidRPr="00A31D82">
        <w:rPr>
          <w:rFonts w:ascii="楷体" w:eastAsia="楷体" w:hAnsi="楷体"/>
        </w:rPr>
        <w:t>”</w:t>
      </w:r>
      <w:r w:rsidRPr="00A31D82">
        <w:rPr>
          <w:rFonts w:ascii="楷体" w:eastAsia="楷体" w:hAnsi="楷体" w:hint="eastAsia"/>
        </w:rPr>
        <w:t>；</w:t>
      </w:r>
    </w:p>
    <w:p w14:paraId="204853A4" w14:textId="2C610259" w:rsidR="00A31D82" w:rsidRPr="0073083D" w:rsidRDefault="00A31D82" w:rsidP="0073083D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 w:rsidRPr="00A31D82">
        <w:rPr>
          <w:rFonts w:ascii="楷体" w:eastAsia="楷体" w:hAnsi="楷体" w:hint="eastAsia"/>
        </w:rPr>
        <w:t>开</w:t>
      </w:r>
      <w:r w:rsidR="0073083D">
        <w:rPr>
          <w:rFonts w:ascii="楷体" w:eastAsia="楷体" w:hAnsi="楷体" w:hint="eastAsia"/>
        </w:rPr>
        <w:t>通</w:t>
      </w:r>
      <w:r w:rsidRPr="00A31D82">
        <w:rPr>
          <w:rFonts w:ascii="楷体" w:eastAsia="楷体" w:hAnsi="楷体" w:hint="eastAsia"/>
        </w:rPr>
        <w:t>时间：可自行</w:t>
      </w:r>
      <w:r w:rsidRPr="00A31D82">
        <w:rPr>
          <w:rFonts w:ascii="楷体" w:eastAsia="楷体" w:hAnsi="楷体"/>
        </w:rPr>
        <w:t>设置时间段区间</w:t>
      </w:r>
      <w:r w:rsidRPr="00A31D82">
        <w:rPr>
          <w:rFonts w:ascii="楷体" w:eastAsia="楷体" w:hAnsi="楷体" w:hint="eastAsia"/>
        </w:rPr>
        <w:t>，</w:t>
      </w:r>
      <w:r w:rsidRPr="00A31D82">
        <w:rPr>
          <w:rFonts w:ascii="楷体" w:eastAsia="楷体" w:hAnsi="楷体"/>
        </w:rPr>
        <w:t>默认按近到远排序</w:t>
      </w:r>
      <w:r w:rsidRPr="00A31D82">
        <w:rPr>
          <w:rFonts w:ascii="楷体" w:eastAsia="楷体" w:hAnsi="楷体" w:hint="eastAsia"/>
        </w:rPr>
        <w:t>；</w:t>
      </w:r>
    </w:p>
    <w:p w14:paraId="36FF2B79" w14:textId="15976684" w:rsidR="00A31D82" w:rsidRDefault="00CB4318" w:rsidP="00CB4318">
      <w:pPr>
        <w:pStyle w:val="a5"/>
        <w:numPr>
          <w:ilvl w:val="0"/>
          <w:numId w:val="21"/>
        </w:numPr>
        <w:spacing w:before="163" w:after="163"/>
        <w:ind w:firstLineChars="0"/>
      </w:pPr>
      <w:r>
        <w:rPr>
          <w:rFonts w:hint="eastAsia"/>
        </w:rPr>
        <w:t>列表：</w:t>
      </w:r>
      <w:r w:rsidR="00A31D82">
        <w:rPr>
          <w:rFonts w:hint="eastAsia"/>
        </w:rPr>
        <w:t>展示</w:t>
      </w:r>
      <w:r w:rsidR="00A31D82">
        <w:t>母账户名下所有子账户列表</w:t>
      </w:r>
      <w:r w:rsidR="00A31D82">
        <w:rPr>
          <w:rFonts w:hint="eastAsia"/>
        </w:rPr>
        <w:t>；</w:t>
      </w:r>
      <w:r w:rsidR="00A31D82">
        <w:t>字段包括</w:t>
      </w:r>
      <w:r>
        <w:rPr>
          <w:rFonts w:hint="eastAsia"/>
        </w:rPr>
        <w:t>子</w:t>
      </w:r>
      <w:r w:rsidR="00A31D82">
        <w:rPr>
          <w:rFonts w:hint="eastAsia"/>
        </w:rPr>
        <w:t>账户</w:t>
      </w:r>
      <w:r w:rsidR="00A31D82">
        <w:t>号、账户管理人、部门</w:t>
      </w:r>
      <w:r w:rsidR="00A31D82">
        <w:t>/</w:t>
      </w:r>
      <w:r w:rsidR="00A31D82">
        <w:rPr>
          <w:rFonts w:hint="eastAsia"/>
        </w:rPr>
        <w:t>职称</w:t>
      </w:r>
      <w:r w:rsidR="00A31D82">
        <w:t>、手机号、</w:t>
      </w:r>
      <w:r w:rsidR="00A31D82">
        <w:rPr>
          <w:rFonts w:hint="eastAsia"/>
        </w:rPr>
        <w:t>邮箱、</w:t>
      </w:r>
      <w:r w:rsidR="00A31D82">
        <w:t>开通时间、状态、操作。</w:t>
      </w:r>
    </w:p>
    <w:p w14:paraId="6C448D66" w14:textId="13DD5AAA" w:rsidR="00CB4318" w:rsidRDefault="00CB4318" w:rsidP="00CB4318">
      <w:pPr>
        <w:pStyle w:val="a5"/>
        <w:numPr>
          <w:ilvl w:val="0"/>
          <w:numId w:val="21"/>
        </w:numPr>
        <w:spacing w:before="163" w:after="163"/>
        <w:ind w:firstLineChars="0"/>
      </w:pPr>
      <w:r>
        <w:rPr>
          <w:rFonts w:hint="eastAsia"/>
        </w:rPr>
        <w:lastRenderedPageBreak/>
        <w:t>子账户</w:t>
      </w:r>
      <w:r>
        <w:t>详情</w:t>
      </w:r>
      <w:r>
        <w:rPr>
          <w:rFonts w:hint="eastAsia"/>
        </w:rPr>
        <w:t>：</w:t>
      </w:r>
      <w:r>
        <w:t>包括</w:t>
      </w:r>
      <w:r>
        <w:rPr>
          <w:rFonts w:hint="eastAsia"/>
        </w:rPr>
        <w:t>三大</w:t>
      </w:r>
      <w:r>
        <w:t>部分</w:t>
      </w:r>
      <w:r>
        <w:t>——</w:t>
      </w:r>
      <w:r>
        <w:rPr>
          <w:rFonts w:hint="eastAsia"/>
        </w:rPr>
        <w:t>子账户</w:t>
      </w:r>
      <w:r>
        <w:t>信息及权限</w:t>
      </w:r>
      <w:r>
        <w:rPr>
          <w:rFonts w:hint="eastAsia"/>
        </w:rPr>
        <w:t>、</w:t>
      </w:r>
      <w:r>
        <w:t>子账户持仓、</w:t>
      </w:r>
      <w:r>
        <w:rPr>
          <w:rFonts w:hint="eastAsia"/>
        </w:rPr>
        <w:t>子账户</w:t>
      </w:r>
      <w:r>
        <w:t>交易记录</w:t>
      </w:r>
      <w:r>
        <w:rPr>
          <w:rFonts w:hint="eastAsia"/>
        </w:rPr>
        <w:t>；</w:t>
      </w:r>
    </w:p>
    <w:p w14:paraId="2778D433" w14:textId="0EE7D8BE" w:rsidR="00CB4318" w:rsidRDefault="00CB4318" w:rsidP="00CB4318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及权限</w:t>
      </w:r>
      <w:r w:rsidRPr="00A31D82">
        <w:rPr>
          <w:rFonts w:ascii="楷体" w:eastAsia="楷体" w:hAnsi="楷体"/>
        </w:rPr>
        <w:t>：包括</w:t>
      </w:r>
      <w:r>
        <w:rPr>
          <w:rFonts w:ascii="楷体" w:eastAsia="楷体" w:hAnsi="楷体" w:hint="eastAsia"/>
        </w:rPr>
        <w:t>基本信息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交易</w:t>
      </w:r>
      <w:r>
        <w:rPr>
          <w:rFonts w:ascii="楷体" w:eastAsia="楷体" w:hAnsi="楷体"/>
        </w:rPr>
        <w:t>权限、信用权限、</w:t>
      </w:r>
      <w:r>
        <w:rPr>
          <w:rFonts w:ascii="楷体" w:eastAsia="楷体" w:hAnsi="楷体" w:hint="eastAsia"/>
        </w:rPr>
        <w:t>资金限制</w:t>
      </w:r>
      <w:r>
        <w:rPr>
          <w:rFonts w:ascii="楷体" w:eastAsia="楷体" w:hAnsi="楷体"/>
        </w:rPr>
        <w:t>（该部分信息均由母账户设置）</w:t>
      </w:r>
      <w:r w:rsidRPr="00A31D82">
        <w:rPr>
          <w:rFonts w:ascii="楷体" w:eastAsia="楷体" w:hAnsi="楷体" w:hint="eastAsia"/>
        </w:rPr>
        <w:t>；</w:t>
      </w:r>
    </w:p>
    <w:p w14:paraId="6F72B26F" w14:textId="4194A723" w:rsidR="00CB4318" w:rsidRDefault="00CB4318" w:rsidP="00CB4318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账户</w:t>
      </w:r>
      <w:r>
        <w:rPr>
          <w:rFonts w:ascii="楷体" w:eastAsia="楷体" w:hAnsi="楷体"/>
        </w:rPr>
        <w:t>持仓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展示全部、股票、</w:t>
      </w:r>
      <w:r>
        <w:rPr>
          <w:rFonts w:ascii="楷体" w:eastAsia="楷体" w:hAnsi="楷体" w:hint="eastAsia"/>
        </w:rPr>
        <w:t>基金</w:t>
      </w:r>
      <w:r>
        <w:rPr>
          <w:rFonts w:ascii="楷体" w:eastAsia="楷体" w:hAnsi="楷体"/>
        </w:rPr>
        <w:t>、外汇、</w:t>
      </w:r>
      <w:r>
        <w:rPr>
          <w:rFonts w:ascii="楷体" w:eastAsia="楷体" w:hAnsi="楷体" w:hint="eastAsia"/>
        </w:rPr>
        <w:t>期权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期货</w:t>
      </w:r>
      <w:r>
        <w:rPr>
          <w:rFonts w:ascii="楷体" w:eastAsia="楷体" w:hAnsi="楷体"/>
        </w:rPr>
        <w:t>、债券</w:t>
      </w:r>
      <w:r>
        <w:rPr>
          <w:rFonts w:ascii="楷体" w:eastAsia="楷体" w:hAnsi="楷体" w:hint="eastAsia"/>
        </w:rPr>
        <w:t>；</w:t>
      </w:r>
    </w:p>
    <w:p w14:paraId="2B3DF0B1" w14:textId="64EC307E" w:rsidR="00FF7856" w:rsidRDefault="00FF7856" w:rsidP="00FF7856">
      <w:pPr>
        <w:pStyle w:val="a5"/>
        <w:spacing w:before="163" w:after="163"/>
        <w:ind w:left="1039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*全部</w:t>
      </w:r>
      <w:r>
        <w:rPr>
          <w:rFonts w:ascii="楷体" w:eastAsia="楷体" w:hAnsi="楷体"/>
        </w:rPr>
        <w:t>：列表</w:t>
      </w:r>
      <w:r>
        <w:rPr>
          <w:rFonts w:ascii="楷体" w:eastAsia="楷体" w:hAnsi="楷体" w:hint="eastAsia"/>
        </w:rPr>
        <w:t>包含</w:t>
      </w:r>
      <w:r>
        <w:rPr>
          <w:rFonts w:ascii="楷体" w:eastAsia="楷体" w:hAnsi="楷体"/>
        </w:rPr>
        <w:t>金融产品类型、以基础货币计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价值、</w:t>
      </w:r>
      <w:r w:rsidR="00CA6D55">
        <w:rPr>
          <w:rFonts w:ascii="楷体" w:eastAsia="楷体" w:hAnsi="楷体"/>
        </w:rPr>
        <w:t>以基础货币</w:t>
      </w:r>
      <w:r w:rsidR="00CA6D55">
        <w:rPr>
          <w:rFonts w:ascii="楷体" w:eastAsia="楷体" w:hAnsi="楷体" w:hint="eastAsia"/>
        </w:rPr>
        <w:t>表示</w:t>
      </w:r>
      <w:r w:rsidR="00CA6D55">
        <w:rPr>
          <w:rFonts w:ascii="楷体" w:eastAsia="楷体" w:hAnsi="楷体"/>
        </w:rPr>
        <w:t>的未实现盈亏、总计盈亏比例（均显示小数点后两位数）</w:t>
      </w:r>
    </w:p>
    <w:p w14:paraId="1829DFF5" w14:textId="693813C2" w:rsidR="00CB4318" w:rsidRDefault="00FF7856" w:rsidP="00FF7856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75AE334" wp14:editId="7452C50D">
            <wp:extent cx="5274310" cy="22225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7EE1" w14:textId="2676493C" w:rsidR="00D91678" w:rsidRDefault="00FF7856" w:rsidP="006D038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22E45A77" wp14:editId="6BB11F12">
            <wp:extent cx="5274310" cy="13125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64F6" w14:textId="0B18A6DE" w:rsidR="00CA6D55" w:rsidRDefault="00CA6D55" w:rsidP="00CA6D55">
      <w:pPr>
        <w:pStyle w:val="a5"/>
        <w:spacing w:before="163" w:after="163"/>
        <w:ind w:left="1039" w:firstLineChars="0" w:firstLine="0"/>
        <w:rPr>
          <w:rFonts w:ascii="楷体" w:eastAsia="楷体" w:hAnsi="楷体"/>
        </w:rPr>
      </w:pPr>
      <w:r w:rsidRPr="00CA6D5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股票</w:t>
      </w:r>
      <w:r w:rsidRPr="00CA6D55">
        <w:rPr>
          <w:rFonts w:ascii="楷体" w:eastAsia="楷体" w:hAnsi="楷体" w:hint="eastAsia"/>
        </w:rPr>
        <w:t>：列表包含</w:t>
      </w:r>
      <w:r>
        <w:rPr>
          <w:rFonts w:ascii="楷体" w:eastAsia="楷体" w:hAnsi="楷体" w:hint="eastAsia"/>
        </w:rPr>
        <w:t>股票代码</w:t>
      </w:r>
      <w:r>
        <w:rPr>
          <w:rFonts w:ascii="楷体" w:eastAsia="楷体" w:hAnsi="楷体"/>
        </w:rPr>
        <w:t>、货币、</w:t>
      </w:r>
      <w:r>
        <w:rPr>
          <w:rFonts w:ascii="楷体" w:eastAsia="楷体" w:hAnsi="楷体" w:hint="eastAsia"/>
        </w:rPr>
        <w:t>持仓</w:t>
      </w:r>
      <w:r>
        <w:rPr>
          <w:rFonts w:ascii="楷体" w:eastAsia="楷体" w:hAnsi="楷体"/>
        </w:rPr>
        <w:t>数量、</w:t>
      </w:r>
      <w:r>
        <w:rPr>
          <w:rFonts w:ascii="楷体" w:eastAsia="楷体" w:hAnsi="楷体" w:hint="eastAsia"/>
        </w:rPr>
        <w:t>现价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成本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持仓</w:t>
      </w:r>
      <w:r>
        <w:rPr>
          <w:rFonts w:ascii="楷体" w:eastAsia="楷体" w:hAnsi="楷体"/>
        </w:rPr>
        <w:t>总价、</w:t>
      </w:r>
      <w:r>
        <w:rPr>
          <w:rFonts w:ascii="楷体" w:eastAsia="楷体" w:hAnsi="楷体" w:hint="eastAsia"/>
        </w:rPr>
        <w:t>未</w:t>
      </w:r>
      <w:r>
        <w:rPr>
          <w:rFonts w:ascii="楷体" w:eastAsia="楷体" w:hAnsi="楷体"/>
        </w:rPr>
        <w:t>实现盈亏、</w:t>
      </w:r>
      <w:r>
        <w:rPr>
          <w:rFonts w:ascii="楷体" w:eastAsia="楷体" w:hAnsi="楷体" w:hint="eastAsia"/>
        </w:rPr>
        <w:t>盈亏</w:t>
      </w:r>
      <w:r>
        <w:rPr>
          <w:rFonts w:ascii="楷体" w:eastAsia="楷体" w:hAnsi="楷体"/>
        </w:rPr>
        <w:t>比例、</w:t>
      </w:r>
      <w:r>
        <w:rPr>
          <w:rFonts w:ascii="楷体" w:eastAsia="楷体" w:hAnsi="楷体" w:hint="eastAsia"/>
        </w:rPr>
        <w:t>持仓</w:t>
      </w:r>
      <w:proofErr w:type="gramStart"/>
      <w:r>
        <w:rPr>
          <w:rFonts w:ascii="楷体" w:eastAsia="楷体" w:hAnsi="楷体"/>
        </w:rPr>
        <w:t>买入总</w:t>
      </w:r>
      <w:proofErr w:type="gramEnd"/>
      <w:r>
        <w:rPr>
          <w:rFonts w:ascii="楷体" w:eastAsia="楷体" w:hAnsi="楷体" w:hint="eastAsia"/>
        </w:rPr>
        <w:t>成本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现金</w:t>
      </w:r>
      <w:r>
        <w:rPr>
          <w:rFonts w:ascii="楷体" w:eastAsia="楷体" w:hAnsi="楷体"/>
        </w:rPr>
        <w:t>占用、</w:t>
      </w:r>
      <w:r>
        <w:rPr>
          <w:rFonts w:ascii="楷体" w:eastAsia="楷体" w:hAnsi="楷体" w:hint="eastAsia"/>
        </w:rPr>
        <w:t>保证金</w:t>
      </w:r>
      <w:r>
        <w:rPr>
          <w:rFonts w:ascii="楷体" w:eastAsia="楷体" w:hAnsi="楷体"/>
        </w:rPr>
        <w:t>占用、</w:t>
      </w:r>
      <w:r>
        <w:rPr>
          <w:rFonts w:ascii="楷体" w:eastAsia="楷体" w:hAnsi="楷体" w:hint="eastAsia"/>
        </w:rPr>
        <w:t>融资</w:t>
      </w:r>
      <w:r>
        <w:rPr>
          <w:rFonts w:ascii="楷体" w:eastAsia="楷体" w:hAnsi="楷体"/>
        </w:rPr>
        <w:t>产生费用、交易产生费用</w:t>
      </w:r>
      <w:r w:rsidRPr="00CA6D55">
        <w:rPr>
          <w:rFonts w:ascii="楷体" w:eastAsia="楷体" w:hAnsi="楷体" w:hint="eastAsia"/>
        </w:rPr>
        <w:t>（均显示小数点后两位数</w:t>
      </w:r>
      <w:r w:rsidR="000F2F3D">
        <w:rPr>
          <w:rFonts w:ascii="楷体" w:eastAsia="楷体" w:hAnsi="楷体" w:hint="eastAsia"/>
        </w:rPr>
        <w:t>，</w:t>
      </w:r>
      <w:r w:rsidR="000F2F3D">
        <w:rPr>
          <w:rFonts w:ascii="楷体" w:eastAsia="楷体" w:hAnsi="楷体"/>
        </w:rPr>
        <w:t>总计</w:t>
      </w:r>
      <w:r w:rsidR="000F2F3D">
        <w:rPr>
          <w:rFonts w:ascii="楷体" w:eastAsia="楷体" w:hAnsi="楷体" w:hint="eastAsia"/>
        </w:rPr>
        <w:t>时</w:t>
      </w:r>
      <w:r w:rsidR="000F2F3D">
        <w:rPr>
          <w:rFonts w:ascii="楷体" w:eastAsia="楷体" w:hAnsi="楷体"/>
        </w:rPr>
        <w:t>用</w:t>
      </w:r>
      <w:r w:rsidR="000F2F3D">
        <w:rPr>
          <w:rFonts w:ascii="楷体" w:eastAsia="楷体" w:hAnsi="楷体" w:hint="eastAsia"/>
        </w:rPr>
        <w:t>USD表示</w:t>
      </w:r>
      <w:r w:rsidRPr="00CA6D55">
        <w:rPr>
          <w:rFonts w:ascii="楷体" w:eastAsia="楷体" w:hAnsi="楷体" w:hint="eastAsia"/>
        </w:rPr>
        <w:t>）</w:t>
      </w:r>
    </w:p>
    <w:p w14:paraId="3073BFD1" w14:textId="64F880B2" w:rsidR="002002DF" w:rsidRPr="002002DF" w:rsidRDefault="002002DF" w:rsidP="002002DF">
      <w:pPr>
        <w:pStyle w:val="a5"/>
        <w:numPr>
          <w:ilvl w:val="0"/>
          <w:numId w:val="22"/>
        </w:numPr>
        <w:spacing w:before="163" w:after="163"/>
        <w:ind w:left="1039" w:firstLineChars="0" w:hanging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交易记录：</w:t>
      </w:r>
      <w:r>
        <w:rPr>
          <w:rFonts w:ascii="楷体" w:eastAsia="楷体" w:hAnsi="楷体"/>
        </w:rPr>
        <w:t>展示</w:t>
      </w:r>
      <w:r>
        <w:rPr>
          <w:rFonts w:ascii="楷体" w:eastAsia="楷体" w:hAnsi="楷体" w:hint="eastAsia"/>
        </w:rPr>
        <w:t>产品代码</w:t>
      </w:r>
      <w:r w:rsidR="00557FCE">
        <w:rPr>
          <w:rFonts w:ascii="楷体" w:eastAsia="楷体" w:hAnsi="楷体" w:hint="eastAsia"/>
        </w:rPr>
        <w:t>（</w:t>
      </w:r>
      <w:r w:rsidR="00557FCE">
        <w:rPr>
          <w:rFonts w:ascii="楷体" w:eastAsia="楷体" w:hAnsi="楷体"/>
        </w:rPr>
        <w:t>标明市场）</w:t>
      </w:r>
      <w:r>
        <w:rPr>
          <w:rFonts w:ascii="楷体" w:eastAsia="楷体" w:hAnsi="楷体"/>
        </w:rPr>
        <w:t>、产品类型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方向、数量、价格、</w:t>
      </w:r>
      <w:r>
        <w:rPr>
          <w:rFonts w:ascii="楷体" w:eastAsia="楷体" w:hAnsi="楷体" w:hint="eastAsia"/>
        </w:rPr>
        <w:t>合计</w:t>
      </w:r>
      <w:r>
        <w:rPr>
          <w:rFonts w:ascii="楷体" w:eastAsia="楷体" w:hAnsi="楷体"/>
        </w:rPr>
        <w:t>、成交单位、交易时间（秒）、佣金、费用、订单情况</w:t>
      </w:r>
      <w:r w:rsidRPr="002002DF">
        <w:rPr>
          <w:rFonts w:ascii="楷体" w:eastAsia="楷体" w:hAnsi="楷体" w:hint="eastAsia"/>
        </w:rPr>
        <w:t>；</w:t>
      </w:r>
    </w:p>
    <w:p w14:paraId="3D7CBA4E" w14:textId="07FFE652" w:rsidR="00F54F11" w:rsidRPr="00152278" w:rsidRDefault="002002DF" w:rsidP="00152278">
      <w:pPr>
        <w:pStyle w:val="a5"/>
        <w:spacing w:before="163" w:after="163"/>
        <w:ind w:left="1039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29FD3018" wp14:editId="427C45D9">
            <wp:extent cx="5274310" cy="10274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50B40EDD" w:rsidR="00FD2066" w:rsidRPr="00D91678" w:rsidRDefault="00152278">
      <w:pPr>
        <w:ind w:firstLine="480"/>
      </w:pPr>
      <w:r>
        <w:rPr>
          <w:rFonts w:hint="eastAsia"/>
        </w:rPr>
        <w:t>港股价格</w:t>
      </w:r>
      <w:r>
        <w:t>精确到</w:t>
      </w:r>
      <w:r>
        <w:rPr>
          <w:rFonts w:hint="eastAsia"/>
        </w:rPr>
        <w:t>0.0001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港币</w:t>
      </w:r>
      <w:r>
        <w:t>价格也需精确到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小数</w:t>
      </w:r>
      <w:r>
        <w:rPr>
          <w:rFonts w:hint="eastAsia"/>
        </w:rPr>
        <w:t>；</w:t>
      </w:r>
      <w:r>
        <w:t>美股价格精确到</w:t>
      </w:r>
      <w:r>
        <w:rPr>
          <w:rFonts w:hint="eastAsia"/>
        </w:rPr>
        <w:t>0.01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美元</w:t>
      </w:r>
      <w:r>
        <w:t>价格</w:t>
      </w:r>
      <w:r>
        <w:rPr>
          <w:rFonts w:hint="eastAsia"/>
        </w:rPr>
        <w:t>也</w:t>
      </w:r>
      <w:r>
        <w:t>需精确到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小数点。百分比</w:t>
      </w:r>
      <w:r>
        <w:rPr>
          <w:rFonts w:hint="eastAsia"/>
        </w:rPr>
        <w:t>均</w:t>
      </w:r>
      <w:r>
        <w:t>只需精确到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小数即可。</w:t>
      </w:r>
    </w:p>
    <w:sectPr w:rsidR="00FD2066" w:rsidRPr="00D91678" w:rsidSect="00583A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D2FC5" w14:textId="77777777" w:rsidR="00887F1F" w:rsidRDefault="00887F1F">
      <w:pPr>
        <w:spacing w:line="240" w:lineRule="auto"/>
        <w:ind w:firstLine="480"/>
      </w:pPr>
      <w:r>
        <w:separator/>
      </w:r>
    </w:p>
  </w:endnote>
  <w:endnote w:type="continuationSeparator" w:id="0">
    <w:p w14:paraId="41EF68D1" w14:textId="77777777" w:rsidR="00887F1F" w:rsidRDefault="00887F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887F1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887F1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887F1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EE0B2" w14:textId="77777777" w:rsidR="00887F1F" w:rsidRDefault="00887F1F">
      <w:pPr>
        <w:spacing w:line="240" w:lineRule="auto"/>
        <w:ind w:firstLine="480"/>
      </w:pPr>
      <w:r>
        <w:separator/>
      </w:r>
    </w:p>
  </w:footnote>
  <w:footnote w:type="continuationSeparator" w:id="0">
    <w:p w14:paraId="4101EA56" w14:textId="77777777" w:rsidR="00887F1F" w:rsidRDefault="00887F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887F1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887F1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887F1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2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98B1BF8"/>
    <w:multiLevelType w:val="hybridMultilevel"/>
    <w:tmpl w:val="380A2FD8"/>
    <w:lvl w:ilvl="0" w:tplc="668EE1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249F317D"/>
    <w:multiLevelType w:val="hybridMultilevel"/>
    <w:tmpl w:val="799A8FF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63081E"/>
    <w:multiLevelType w:val="hybridMultilevel"/>
    <w:tmpl w:val="276A5C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D733F5"/>
    <w:multiLevelType w:val="hybridMultilevel"/>
    <w:tmpl w:val="380A2FD8"/>
    <w:lvl w:ilvl="0" w:tplc="668EE1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D65A95"/>
    <w:multiLevelType w:val="hybridMultilevel"/>
    <w:tmpl w:val="B81235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EA019F"/>
    <w:multiLevelType w:val="hybridMultilevel"/>
    <w:tmpl w:val="380A2FD8"/>
    <w:lvl w:ilvl="0" w:tplc="668EE1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696D72"/>
    <w:multiLevelType w:val="hybridMultilevel"/>
    <w:tmpl w:val="080AD040"/>
    <w:lvl w:ilvl="0" w:tplc="EAF67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7276D84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F314B0C"/>
    <w:multiLevelType w:val="hybridMultilevel"/>
    <w:tmpl w:val="380A2FD8"/>
    <w:lvl w:ilvl="0" w:tplc="668EE1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14"/>
  </w:num>
  <w:num w:numId="11">
    <w:abstractNumId w:val="16"/>
  </w:num>
  <w:num w:numId="12">
    <w:abstractNumId w:val="18"/>
  </w:num>
  <w:num w:numId="13">
    <w:abstractNumId w:val="20"/>
  </w:num>
  <w:num w:numId="14">
    <w:abstractNumId w:val="17"/>
  </w:num>
  <w:num w:numId="15">
    <w:abstractNumId w:val="6"/>
  </w:num>
  <w:num w:numId="16">
    <w:abstractNumId w:val="13"/>
  </w:num>
  <w:num w:numId="17">
    <w:abstractNumId w:val="19"/>
  </w:num>
  <w:num w:numId="18">
    <w:abstractNumId w:val="3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26097"/>
    <w:rsid w:val="00034620"/>
    <w:rsid w:val="000355CA"/>
    <w:rsid w:val="000C4024"/>
    <w:rsid w:val="000D2EE3"/>
    <w:rsid w:val="000F2F3D"/>
    <w:rsid w:val="00107AA3"/>
    <w:rsid w:val="00124FDF"/>
    <w:rsid w:val="00141B22"/>
    <w:rsid w:val="00152278"/>
    <w:rsid w:val="001815AA"/>
    <w:rsid w:val="00184B0B"/>
    <w:rsid w:val="001D744E"/>
    <w:rsid w:val="002002DF"/>
    <w:rsid w:val="002223ED"/>
    <w:rsid w:val="00261214"/>
    <w:rsid w:val="00276C6A"/>
    <w:rsid w:val="002E2F92"/>
    <w:rsid w:val="002E526A"/>
    <w:rsid w:val="00302B60"/>
    <w:rsid w:val="0033089E"/>
    <w:rsid w:val="00346CD3"/>
    <w:rsid w:val="0038677C"/>
    <w:rsid w:val="003B59DB"/>
    <w:rsid w:val="003B7650"/>
    <w:rsid w:val="003D2114"/>
    <w:rsid w:val="0041785E"/>
    <w:rsid w:val="00557FCE"/>
    <w:rsid w:val="00570800"/>
    <w:rsid w:val="0059122A"/>
    <w:rsid w:val="00595FC9"/>
    <w:rsid w:val="005B22E1"/>
    <w:rsid w:val="005F6A24"/>
    <w:rsid w:val="00610236"/>
    <w:rsid w:val="006160E5"/>
    <w:rsid w:val="00675B07"/>
    <w:rsid w:val="006D038F"/>
    <w:rsid w:val="006D2210"/>
    <w:rsid w:val="006E0C08"/>
    <w:rsid w:val="0070526A"/>
    <w:rsid w:val="0073083D"/>
    <w:rsid w:val="007D12ED"/>
    <w:rsid w:val="007E6902"/>
    <w:rsid w:val="00841703"/>
    <w:rsid w:val="008676A8"/>
    <w:rsid w:val="0088294B"/>
    <w:rsid w:val="00887F1F"/>
    <w:rsid w:val="008B0402"/>
    <w:rsid w:val="00970F27"/>
    <w:rsid w:val="00971764"/>
    <w:rsid w:val="009C519A"/>
    <w:rsid w:val="009D6591"/>
    <w:rsid w:val="00A26AEC"/>
    <w:rsid w:val="00A31D82"/>
    <w:rsid w:val="00A60CCC"/>
    <w:rsid w:val="00A9131E"/>
    <w:rsid w:val="00AA7A95"/>
    <w:rsid w:val="00B51878"/>
    <w:rsid w:val="00B84B24"/>
    <w:rsid w:val="00BB5C1B"/>
    <w:rsid w:val="00C00CA5"/>
    <w:rsid w:val="00C054F8"/>
    <w:rsid w:val="00C05A11"/>
    <w:rsid w:val="00C06049"/>
    <w:rsid w:val="00C071F9"/>
    <w:rsid w:val="00CA6D55"/>
    <w:rsid w:val="00CB4318"/>
    <w:rsid w:val="00D02069"/>
    <w:rsid w:val="00D314FA"/>
    <w:rsid w:val="00D3535E"/>
    <w:rsid w:val="00D41C64"/>
    <w:rsid w:val="00D424C4"/>
    <w:rsid w:val="00D51D13"/>
    <w:rsid w:val="00D611BD"/>
    <w:rsid w:val="00D903C0"/>
    <w:rsid w:val="00D91678"/>
    <w:rsid w:val="00DC2397"/>
    <w:rsid w:val="00DF5F74"/>
    <w:rsid w:val="00E03E97"/>
    <w:rsid w:val="00E967AE"/>
    <w:rsid w:val="00EC56E0"/>
    <w:rsid w:val="00F339B2"/>
    <w:rsid w:val="00F54F11"/>
    <w:rsid w:val="00F64EA2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8AB2-55C9-463E-91B2-A9CAAB44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172</Words>
  <Characters>983</Characters>
  <Application>Microsoft Office Word</Application>
  <DocSecurity>0</DocSecurity>
  <Lines>8</Lines>
  <Paragraphs>2</Paragraphs>
  <ScaleCrop>false</ScaleCrop>
  <Company>china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32</cp:revision>
  <dcterms:created xsi:type="dcterms:W3CDTF">2019-11-04T08:38:00Z</dcterms:created>
  <dcterms:modified xsi:type="dcterms:W3CDTF">2019-11-06T05:45:00Z</dcterms:modified>
</cp:coreProperties>
</file>